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5292"/>
        <w:gridCol w:w="3106"/>
      </w:tblGrid>
      <w:tr w:rsidR="00BD4D83" w:rsidTr="00644CB8">
        <w:trPr>
          <w:cantSplit/>
          <w:jc w:val="center"/>
        </w:trPr>
        <w:tc>
          <w:tcPr>
            <w:tcW w:w="6533" w:type="dxa"/>
            <w:gridSpan w:val="2"/>
            <w:tcBorders>
              <w:bottom w:val="single" w:sz="8" w:space="0" w:color="auto"/>
            </w:tcBorders>
          </w:tcPr>
          <w:p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A776D9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BD4D83" w:rsidRPr="00D04E33" w:rsidRDefault="00BD4D83">
            <w:pPr>
              <w:rPr>
                <w:b/>
                <w:sz w:val="32"/>
                <w:szCs w:val="32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06" w:type="dxa"/>
            <w:tcBorders>
              <w:bottom w:val="single" w:sz="8" w:space="0" w:color="auto"/>
            </w:tcBorders>
          </w:tcPr>
          <w:p w:rsidR="00BD4D83" w:rsidRPr="001B1848" w:rsidRDefault="00BD4D83" w:rsidP="00903252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1B1848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:rsidR="00BD4D83" w:rsidRPr="00644CB8" w:rsidRDefault="005A6B25" w:rsidP="001B6A71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UNEP</w:t>
            </w:r>
            <w:r w:rsidRPr="00644CB8">
              <w:rPr>
                <w:sz w:val="20"/>
                <w:lang w:val="en-US"/>
              </w:rPr>
              <w:t>/</w:t>
            </w:r>
            <w:r w:rsidR="001B6A71">
              <w:rPr>
                <w:sz w:val="20"/>
                <w:lang w:val="en-US"/>
              </w:rPr>
              <w:t>EA.2</w:t>
            </w:r>
            <w:r w:rsidR="00644CB8">
              <w:rPr>
                <w:sz w:val="20"/>
                <w:lang w:val="en-US"/>
              </w:rPr>
              <w:t>/</w:t>
            </w:r>
            <w:r w:rsidR="001B6A71">
              <w:rPr>
                <w:sz w:val="20"/>
                <w:lang w:val="en-US"/>
              </w:rPr>
              <w:t>11</w:t>
            </w:r>
          </w:p>
        </w:tc>
      </w:tr>
      <w:tr w:rsidR="00BD4D83" w:rsidRPr="001E1362" w:rsidTr="00644CB8">
        <w:trPr>
          <w:cantSplit/>
          <w:trHeight w:val="20"/>
          <w:jc w:val="center"/>
        </w:trPr>
        <w:tc>
          <w:tcPr>
            <w:tcW w:w="1241" w:type="dxa"/>
          </w:tcPr>
          <w:p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5292" w:type="dxa"/>
          </w:tcPr>
          <w:p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3106" w:type="dxa"/>
            <w:vMerge w:val="restart"/>
          </w:tcPr>
          <w:p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Distr.:</w:t>
            </w:r>
            <w:r w:rsidR="00C56C4C" w:rsidRPr="00B939CF">
              <w:rPr>
                <w:sz w:val="20"/>
                <w:lang w:val="en-US"/>
              </w:rPr>
              <w:t xml:space="preserve"> </w:t>
            </w:r>
            <w:r w:rsidRPr="00B939CF">
              <w:rPr>
                <w:sz w:val="20"/>
                <w:lang w:val="en-US"/>
              </w:rPr>
              <w:t>General</w:t>
            </w:r>
          </w:p>
          <w:p w:rsidR="00BD4D83" w:rsidRPr="00644CB8" w:rsidRDefault="001B6A71" w:rsidP="001B184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  <w:r w:rsidR="00625C29" w:rsidRPr="00B939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February</w:t>
            </w:r>
            <w:r w:rsidR="00625C29" w:rsidRPr="00B939CF">
              <w:rPr>
                <w:sz w:val="20"/>
                <w:lang w:val="en-US"/>
              </w:rPr>
              <w:t xml:space="preserve"> </w:t>
            </w:r>
            <w:r w:rsidR="005A6B25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6</w:t>
            </w: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Russian</w:t>
            </w:r>
          </w:p>
          <w:p w:rsidR="00BD4D83" w:rsidRPr="00644CB8" w:rsidRDefault="00C4660D" w:rsidP="001B184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Original: </w:t>
            </w:r>
            <w:r w:rsidR="00BD4D83" w:rsidRPr="00B939CF">
              <w:rPr>
                <w:sz w:val="20"/>
                <w:lang w:val="en-US"/>
              </w:rPr>
              <w:t>English</w:t>
            </w:r>
          </w:p>
        </w:tc>
      </w:tr>
      <w:tr w:rsidR="00BD4D83" w:rsidTr="00644CB8">
        <w:trPr>
          <w:cantSplit/>
          <w:jc w:val="center"/>
        </w:trPr>
        <w:tc>
          <w:tcPr>
            <w:tcW w:w="1241" w:type="dxa"/>
          </w:tcPr>
          <w:p w:rsidR="00BD4D83" w:rsidRDefault="00B70953">
            <w:pPr>
              <w:rPr>
                <w:sz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0875" cy="563245"/>
                  <wp:effectExtent l="0" t="0" r="0" b="825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</w:tcPr>
          <w:p w:rsidR="00BD4D83" w:rsidRPr="00A776D9" w:rsidRDefault="00BD4D83">
            <w:pPr>
              <w:rPr>
                <w:rFonts w:ascii="Arial" w:hAnsi="Arial" w:cs="Arial"/>
                <w:b/>
                <w:lang w:val="en-US"/>
              </w:rPr>
            </w:pPr>
          </w:p>
          <w:p w:rsidR="00A776D9" w:rsidRP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:rsid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:rsidR="009F1B6E" w:rsidRPr="00A776D9" w:rsidRDefault="009F1B6E">
            <w:pPr>
              <w:rPr>
                <w:rFonts w:ascii="Arial" w:hAnsi="Arial" w:cs="Arial"/>
                <w:b/>
                <w:lang w:val="en-US"/>
              </w:rPr>
            </w:pPr>
          </w:p>
          <w:p w:rsidR="00BD4D83" w:rsidRPr="00644CB8" w:rsidRDefault="00644CB8" w:rsidP="00FA4764">
            <w:pPr>
              <w:spacing w:after="40"/>
              <w:rPr>
                <w:rFonts w:ascii="Arial" w:hAnsi="Arial" w:cs="Arial"/>
                <w:b/>
                <w:sz w:val="27"/>
                <w:szCs w:val="27"/>
              </w:rPr>
            </w:pPr>
            <w:r w:rsidRPr="00644CB8">
              <w:rPr>
                <w:rFonts w:ascii="Arial" w:hAnsi="Arial" w:cs="Arial"/>
                <w:b/>
                <w:sz w:val="28"/>
                <w:szCs w:val="28"/>
              </w:rPr>
              <w:t>Ассамблея</w:t>
            </w:r>
            <w:r w:rsidRPr="00983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Организации</w:t>
            </w:r>
            <w:r w:rsidRPr="00983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Объединенных</w:t>
            </w:r>
            <w:r w:rsidRPr="00983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Наций</w:t>
            </w:r>
            <w:r w:rsidRPr="00983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по</w:t>
            </w:r>
            <w:r w:rsidRPr="00983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окружающей</w:t>
            </w:r>
            <w:r w:rsidRPr="00983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 xml:space="preserve">среде Программы Организации Объединенных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br/>
              <w:t>Наций по окружающей среде</w:t>
            </w:r>
          </w:p>
        </w:tc>
        <w:tc>
          <w:tcPr>
            <w:tcW w:w="3106" w:type="dxa"/>
            <w:vMerge/>
          </w:tcPr>
          <w:p w:rsidR="00BD4D83" w:rsidRDefault="00BD4D83"/>
        </w:tc>
      </w:tr>
      <w:tr w:rsidR="00BD4D83" w:rsidTr="00644CB8">
        <w:trPr>
          <w:cantSplit/>
          <w:trHeight w:val="20"/>
          <w:jc w:val="center"/>
        </w:trPr>
        <w:tc>
          <w:tcPr>
            <w:tcW w:w="1241" w:type="dxa"/>
          </w:tcPr>
          <w:p w:rsidR="00BD4D83" w:rsidRDefault="00BD4D83">
            <w:pPr>
              <w:rPr>
                <w:sz w:val="16"/>
              </w:rPr>
            </w:pPr>
          </w:p>
        </w:tc>
        <w:tc>
          <w:tcPr>
            <w:tcW w:w="5292" w:type="dxa"/>
            <w:vMerge/>
          </w:tcPr>
          <w:p w:rsidR="00BD4D83" w:rsidRDefault="00BD4D83">
            <w:pPr>
              <w:rPr>
                <w:b/>
                <w:sz w:val="28"/>
              </w:rPr>
            </w:pPr>
          </w:p>
        </w:tc>
        <w:tc>
          <w:tcPr>
            <w:tcW w:w="3106" w:type="dxa"/>
            <w:vMerge/>
          </w:tcPr>
          <w:p w:rsidR="00BD4D83" w:rsidRDefault="00BD4D83"/>
        </w:tc>
      </w:tr>
      <w:tr w:rsidR="00BD4D83" w:rsidTr="00644CB8">
        <w:trPr>
          <w:cantSplit/>
          <w:trHeight w:val="962"/>
          <w:jc w:val="center"/>
        </w:trPr>
        <w:tc>
          <w:tcPr>
            <w:tcW w:w="1241" w:type="dxa"/>
            <w:tcBorders>
              <w:bottom w:val="single" w:sz="24" w:space="0" w:color="auto"/>
            </w:tcBorders>
          </w:tcPr>
          <w:p w:rsidR="00BD4D83" w:rsidRDefault="00BD4D83">
            <w:pPr>
              <w:rPr>
                <w:lang w:val="en-US"/>
              </w:rPr>
            </w:pPr>
            <w:r>
              <w:object w:dxaOrig="1020" w:dyaOrig="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45.5pt" o:ole="" fillcolor="window">
                  <v:imagedata r:id="rId10" o:title="" cropbottom="13140f"/>
                </v:shape>
                <o:OLEObject Type="Embed" ProgID="Word.Picture.8" ShapeID="_x0000_i1025" DrawAspect="Content" ObjectID="_1521986514" r:id="rId11"/>
              </w:object>
            </w:r>
          </w:p>
        </w:tc>
        <w:tc>
          <w:tcPr>
            <w:tcW w:w="5292" w:type="dxa"/>
            <w:vMerge/>
            <w:tcBorders>
              <w:bottom w:val="single" w:sz="24" w:space="0" w:color="auto"/>
            </w:tcBorders>
          </w:tcPr>
          <w:p w:rsidR="00BD4D83" w:rsidRDefault="00BD4D83"/>
        </w:tc>
        <w:tc>
          <w:tcPr>
            <w:tcW w:w="3106" w:type="dxa"/>
            <w:vMerge/>
            <w:tcBorders>
              <w:bottom w:val="single" w:sz="24" w:space="0" w:color="auto"/>
            </w:tcBorders>
          </w:tcPr>
          <w:p w:rsidR="00BD4D83" w:rsidRDefault="00BD4D83"/>
        </w:tc>
      </w:tr>
    </w:tbl>
    <w:p w:rsidR="00BD4D83" w:rsidRDefault="00BD4D83">
      <w:pPr>
        <w:sectPr w:rsidR="00BD4D83" w:rsidSect="00B205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pgSz w:w="11906" w:h="16838" w:code="9"/>
          <w:pgMar w:top="561" w:right="851" w:bottom="1440" w:left="1440" w:header="851" w:footer="720" w:gutter="0"/>
          <w:cols w:space="720"/>
          <w:titlePg/>
        </w:sectPr>
      </w:pPr>
    </w:p>
    <w:p w:rsidR="00BD4D83" w:rsidRPr="00983A20" w:rsidRDefault="0059527D">
      <w:pPr>
        <w:rPr>
          <w:b/>
          <w:sz w:val="20"/>
        </w:rPr>
      </w:pPr>
      <w:r w:rsidRPr="0059527D">
        <w:rPr>
          <w:b/>
          <w:sz w:val="20"/>
        </w:rPr>
        <w:lastRenderedPageBreak/>
        <w:t xml:space="preserve">Ассамблея Организации Объединенных Наций </w:t>
      </w:r>
      <w:r w:rsidRPr="0059527D">
        <w:rPr>
          <w:b/>
          <w:sz w:val="20"/>
        </w:rPr>
        <w:br/>
        <w:t xml:space="preserve">по окружающей среде Программы Организации </w:t>
      </w:r>
      <w:r w:rsidRPr="0059527D">
        <w:rPr>
          <w:b/>
          <w:sz w:val="20"/>
        </w:rPr>
        <w:br/>
        <w:t>Объединенных Наций по окружающей среде</w:t>
      </w:r>
    </w:p>
    <w:p w:rsidR="0059527D" w:rsidRPr="0059527D" w:rsidRDefault="001B6A71">
      <w:pPr>
        <w:rPr>
          <w:b/>
          <w:sz w:val="20"/>
        </w:rPr>
      </w:pPr>
      <w:r>
        <w:rPr>
          <w:b/>
          <w:sz w:val="20"/>
        </w:rPr>
        <w:t>Вторая</w:t>
      </w:r>
      <w:r w:rsidR="0059527D">
        <w:rPr>
          <w:b/>
          <w:sz w:val="20"/>
        </w:rPr>
        <w:t xml:space="preserve"> сессия</w:t>
      </w:r>
    </w:p>
    <w:p w:rsidR="00BD4D83" w:rsidRPr="0059527D" w:rsidRDefault="00C84EF5">
      <w:pPr>
        <w:rPr>
          <w:sz w:val="20"/>
        </w:rPr>
      </w:pPr>
      <w:r w:rsidRPr="0059527D">
        <w:rPr>
          <w:sz w:val="20"/>
        </w:rPr>
        <w:t>Найроби</w:t>
      </w:r>
      <w:r w:rsidR="00D15798" w:rsidRPr="0059527D">
        <w:rPr>
          <w:sz w:val="20"/>
        </w:rPr>
        <w:t xml:space="preserve">, </w:t>
      </w:r>
      <w:r w:rsidR="0059527D">
        <w:rPr>
          <w:sz w:val="20"/>
        </w:rPr>
        <w:t>23</w:t>
      </w:r>
      <w:r w:rsidRPr="0059527D">
        <w:rPr>
          <w:sz w:val="20"/>
        </w:rPr>
        <w:t>-</w:t>
      </w:r>
      <w:r w:rsidR="00D15798" w:rsidRPr="0059527D">
        <w:rPr>
          <w:sz w:val="20"/>
        </w:rPr>
        <w:t>2</w:t>
      </w:r>
      <w:r w:rsidR="0059527D">
        <w:rPr>
          <w:sz w:val="20"/>
        </w:rPr>
        <w:t>7</w:t>
      </w:r>
      <w:r w:rsidR="00537FDC" w:rsidRPr="0059527D">
        <w:rPr>
          <w:sz w:val="20"/>
        </w:rPr>
        <w:t xml:space="preserve"> </w:t>
      </w:r>
      <w:r w:rsidR="001B6A71">
        <w:rPr>
          <w:sz w:val="20"/>
        </w:rPr>
        <w:t>мая</w:t>
      </w:r>
      <w:r w:rsidR="00BD4D83" w:rsidRPr="0059527D">
        <w:rPr>
          <w:sz w:val="20"/>
        </w:rPr>
        <w:t xml:space="preserve"> 20</w:t>
      </w:r>
      <w:r w:rsidR="00D15798" w:rsidRPr="0059527D">
        <w:rPr>
          <w:sz w:val="20"/>
        </w:rPr>
        <w:t>1</w:t>
      </w:r>
      <w:r w:rsidR="001B6A71">
        <w:rPr>
          <w:sz w:val="20"/>
        </w:rPr>
        <w:t>6</w:t>
      </w:r>
      <w:r w:rsidR="00BD4D83" w:rsidRPr="0059527D">
        <w:rPr>
          <w:sz w:val="20"/>
        </w:rPr>
        <w:t xml:space="preserve"> года</w:t>
      </w:r>
    </w:p>
    <w:p w:rsidR="00983A20" w:rsidRPr="002B4E03" w:rsidRDefault="00BD4D83" w:rsidP="001E1362">
      <w:pPr>
        <w:spacing w:after="120"/>
        <w:ind w:right="1701"/>
        <w:rPr>
          <w:b/>
          <w:sz w:val="20"/>
        </w:rPr>
      </w:pPr>
      <w:r w:rsidRPr="0059527D">
        <w:rPr>
          <w:sz w:val="20"/>
        </w:rPr>
        <w:t>Пункт</w:t>
      </w:r>
      <w:r w:rsidR="001B6A71">
        <w:rPr>
          <w:sz w:val="20"/>
        </w:rPr>
        <w:t xml:space="preserve"> </w:t>
      </w:r>
      <w:r w:rsidR="00983A20" w:rsidRPr="00983A20">
        <w:rPr>
          <w:sz w:val="20"/>
        </w:rPr>
        <w:t xml:space="preserve">4 </w:t>
      </w:r>
      <w:r w:rsidR="002B4E03">
        <w:rPr>
          <w:sz w:val="20"/>
          <w:lang w:val="en-US"/>
        </w:rPr>
        <w:t>k</w:t>
      </w:r>
      <w:r w:rsidR="00983A20" w:rsidRPr="00983A20">
        <w:rPr>
          <w:sz w:val="20"/>
        </w:rPr>
        <w:t xml:space="preserve">) </w:t>
      </w:r>
      <w:r w:rsidRPr="0059527D">
        <w:rPr>
          <w:sz w:val="20"/>
        </w:rPr>
        <w:t>предварительной повестки дня</w:t>
      </w:r>
      <w:r w:rsidR="00B2052E" w:rsidRPr="0059527D">
        <w:rPr>
          <w:sz w:val="20"/>
        </w:rPr>
        <w:t>*</w:t>
      </w:r>
      <w:r w:rsidR="002B4E03" w:rsidRPr="00674F7D">
        <w:rPr>
          <w:sz w:val="20"/>
        </w:rPr>
        <w:br/>
      </w:r>
      <w:r w:rsidR="00983A20" w:rsidRPr="002B4E03">
        <w:rPr>
          <w:b/>
          <w:sz w:val="20"/>
        </w:rPr>
        <w:t xml:space="preserve">Вопросы международной природоохранной политики и экологического руководства: </w:t>
      </w:r>
      <w:r w:rsidR="00674F7D">
        <w:rPr>
          <w:b/>
          <w:sz w:val="20"/>
        </w:rPr>
        <w:t>о</w:t>
      </w:r>
      <w:r w:rsidR="002B4E03" w:rsidRPr="002B4E03">
        <w:rPr>
          <w:b/>
          <w:sz w:val="20"/>
        </w:rPr>
        <w:t>тношения между Программой Организации Объединенных Наций по окружающей среде и многосторонними природоохранными соглашениями</w:t>
      </w:r>
    </w:p>
    <w:p w:rsidR="006B1FAB" w:rsidRPr="006B1FAB" w:rsidRDefault="006B1FAB" w:rsidP="001E1362">
      <w:pPr>
        <w:spacing w:before="320" w:after="240"/>
        <w:ind w:left="1247" w:right="567"/>
        <w:rPr>
          <w:b/>
          <w:sz w:val="28"/>
          <w:szCs w:val="28"/>
        </w:rPr>
      </w:pPr>
      <w:r w:rsidRPr="006B1FAB">
        <w:rPr>
          <w:b/>
          <w:sz w:val="28"/>
          <w:szCs w:val="28"/>
        </w:rPr>
        <w:t>Отношения между Программой Организации Объединенных Наций по окружающей среде и многосторонними природоохранными соглашениями</w:t>
      </w:r>
    </w:p>
    <w:p w:rsidR="006B1FAB" w:rsidRPr="006B1FAB" w:rsidRDefault="006B1FAB" w:rsidP="006B1FAB">
      <w:pPr>
        <w:spacing w:after="120"/>
        <w:ind w:left="1247" w:right="284"/>
        <w:rPr>
          <w:b/>
          <w:sz w:val="24"/>
          <w:szCs w:val="24"/>
        </w:rPr>
      </w:pPr>
      <w:r w:rsidRPr="006B1FAB">
        <w:rPr>
          <w:b/>
          <w:sz w:val="24"/>
          <w:szCs w:val="24"/>
        </w:rPr>
        <w:t xml:space="preserve">Доклад Директора-исполнителя </w:t>
      </w:r>
    </w:p>
    <w:tbl>
      <w:tblPr>
        <w:tblW w:w="90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3"/>
      </w:tblGrid>
      <w:tr w:rsidR="00BB0FB3" w:rsidRPr="00F524A9" w:rsidTr="00BB0FB3">
        <w:trPr>
          <w:trHeight w:val="3412"/>
        </w:trPr>
        <w:tc>
          <w:tcPr>
            <w:tcW w:w="9063" w:type="dxa"/>
          </w:tcPr>
          <w:p w:rsidR="00BB0FB3" w:rsidRPr="00BB0FB3" w:rsidRDefault="00BB0FB3" w:rsidP="00BB0FB3">
            <w:pPr>
              <w:spacing w:before="120" w:after="120"/>
              <w:rPr>
                <w:b/>
                <w:i/>
                <w:sz w:val="20"/>
              </w:rPr>
            </w:pPr>
            <w:r w:rsidRPr="00BB0FB3">
              <w:rPr>
                <w:b/>
                <w:i/>
                <w:sz w:val="20"/>
              </w:rPr>
              <w:t>Резюме</w:t>
            </w:r>
          </w:p>
          <w:p w:rsidR="00BB0FB3" w:rsidRPr="00BB0FB3" w:rsidRDefault="00BB0FB3" w:rsidP="00983A20">
            <w:pPr>
              <w:ind w:firstLine="624"/>
              <w:rPr>
                <w:sz w:val="20"/>
              </w:rPr>
            </w:pPr>
            <w:r w:rsidRPr="00BB0FB3">
              <w:rPr>
                <w:sz w:val="20"/>
              </w:rPr>
              <w:t xml:space="preserve">В настоящем докладе, представленном во исполнение пункта 3 резолюции 1/12 Ассамблеи Организации Объединенных Наций по окружающей среде, </w:t>
            </w:r>
            <w:r w:rsidR="00983A20">
              <w:rPr>
                <w:sz w:val="20"/>
              </w:rPr>
              <w:t>обобщаю</w:t>
            </w:r>
            <w:r w:rsidRPr="00BB0FB3">
              <w:rPr>
                <w:sz w:val="20"/>
              </w:rPr>
              <w:t xml:space="preserve">тся работа целевой группы, учрежденной Директором-исполнителем в качестве консультативного механизма для проведения совместного обзора рекомендаций, вытекающих из консультаций между Программой Организации Объединенных Наций по окружающей среде (ЮНЕП) и секретариатами многосторонних природоохранных соглашений, для которых </w:t>
            </w:r>
            <w:r w:rsidR="00983A20">
              <w:rPr>
                <w:sz w:val="20"/>
              </w:rPr>
              <w:t>ЮНЕП</w:t>
            </w:r>
            <w:r w:rsidRPr="00BB0FB3">
              <w:rPr>
                <w:sz w:val="20"/>
              </w:rPr>
              <w:t xml:space="preserve"> обеспечивается секретариат</w:t>
            </w:r>
            <w:r w:rsidR="00983A20">
              <w:rPr>
                <w:sz w:val="20"/>
              </w:rPr>
              <w:t xml:space="preserve"> или выполняются функции секретариата</w:t>
            </w:r>
            <w:r w:rsidRPr="00BB0FB3">
              <w:rPr>
                <w:sz w:val="20"/>
              </w:rPr>
              <w:t>, связанн</w:t>
            </w:r>
            <w:r w:rsidR="00983A20">
              <w:rPr>
                <w:sz w:val="20"/>
              </w:rPr>
              <w:t>ая</w:t>
            </w:r>
            <w:r w:rsidRPr="00BB0FB3">
              <w:rPr>
                <w:sz w:val="20"/>
              </w:rPr>
              <w:t xml:space="preserve"> с </w:t>
            </w:r>
            <w:r w:rsidR="00983A20">
              <w:rPr>
                <w:sz w:val="20"/>
              </w:rPr>
              <w:t xml:space="preserve">этими рекомендациями </w:t>
            </w:r>
            <w:r w:rsidRPr="00BB0FB3">
              <w:rPr>
                <w:sz w:val="20"/>
              </w:rPr>
              <w:t>последующ</w:t>
            </w:r>
            <w:r w:rsidR="00983A20">
              <w:rPr>
                <w:sz w:val="20"/>
              </w:rPr>
              <w:t>ая</w:t>
            </w:r>
            <w:r w:rsidRPr="00BB0FB3">
              <w:rPr>
                <w:sz w:val="20"/>
              </w:rPr>
              <w:t xml:space="preserve"> деятельност</w:t>
            </w:r>
            <w:r w:rsidR="00983A20">
              <w:rPr>
                <w:sz w:val="20"/>
              </w:rPr>
              <w:t>ь</w:t>
            </w:r>
            <w:r w:rsidRPr="00BB0FB3">
              <w:rPr>
                <w:sz w:val="20"/>
              </w:rPr>
              <w:t xml:space="preserve"> и текуще</w:t>
            </w:r>
            <w:r w:rsidR="00983A20">
              <w:rPr>
                <w:sz w:val="20"/>
              </w:rPr>
              <w:t>е</w:t>
            </w:r>
            <w:r w:rsidRPr="00BB0FB3">
              <w:rPr>
                <w:sz w:val="20"/>
              </w:rPr>
              <w:t xml:space="preserve"> состояни</w:t>
            </w:r>
            <w:r w:rsidR="00983A20">
              <w:rPr>
                <w:sz w:val="20"/>
              </w:rPr>
              <w:t>е</w:t>
            </w:r>
            <w:r w:rsidRPr="00BB0FB3">
              <w:rPr>
                <w:sz w:val="20"/>
              </w:rPr>
              <w:t xml:space="preserve"> и уров</w:t>
            </w:r>
            <w:r w:rsidR="00983A20">
              <w:rPr>
                <w:sz w:val="20"/>
              </w:rPr>
              <w:t>ень</w:t>
            </w:r>
            <w:r w:rsidRPr="00BB0FB3">
              <w:rPr>
                <w:sz w:val="20"/>
              </w:rPr>
              <w:t xml:space="preserve"> эффективности административных механизмов и программного сотрудничества, в свете соответствующих новых общесистемных для Организации Объединенных Наций и Секретариата административных требований и стремления постоянно совершенствовать результативность деятельности ЮНЕП. После резюме приводится подготовленный ЮНЕП анализ и ее рекомендации относительно способов повышения эффективности сотрудничества между ЮНЕП и многосторонними природоохранными соглашениями в сфере институциональных рамок и подотчетности, административной и финансовой основ и программного сотрудничества. Дополнительная информация </w:t>
            </w:r>
            <w:r w:rsidR="00983A20">
              <w:rPr>
                <w:sz w:val="20"/>
              </w:rPr>
              <w:t xml:space="preserve">по этой теме </w:t>
            </w:r>
            <w:r w:rsidRPr="00BB0FB3">
              <w:rPr>
                <w:sz w:val="20"/>
              </w:rPr>
              <w:t>приводится в документе UNEP/EA.2/</w:t>
            </w:r>
            <w:r w:rsidR="00983A20" w:rsidRPr="00983A20">
              <w:rPr>
                <w:sz w:val="20"/>
              </w:rPr>
              <w:t>11/Add.1</w:t>
            </w:r>
            <w:r w:rsidRPr="00BB0FB3">
              <w:rPr>
                <w:sz w:val="20"/>
              </w:rPr>
              <w:t>.</w:t>
            </w:r>
          </w:p>
        </w:tc>
      </w:tr>
    </w:tbl>
    <w:p w:rsidR="00BB0FB3" w:rsidRPr="00BB0FB3" w:rsidRDefault="00BB0FB3" w:rsidP="00730549">
      <w:pPr>
        <w:keepNext/>
        <w:keepLines/>
        <w:tabs>
          <w:tab w:val="right" w:pos="851"/>
        </w:tabs>
        <w:spacing w:before="240" w:after="120"/>
        <w:ind w:left="1247" w:right="284" w:hanging="1247"/>
        <w:rPr>
          <w:b/>
          <w:sz w:val="28"/>
          <w:szCs w:val="28"/>
        </w:rPr>
      </w:pPr>
      <w:r w:rsidRPr="00BB0FB3">
        <w:rPr>
          <w:b/>
          <w:sz w:val="28"/>
          <w:szCs w:val="28"/>
        </w:rPr>
        <w:lastRenderedPageBreak/>
        <w:tab/>
        <w:t>I.</w:t>
      </w:r>
      <w:r w:rsidRPr="00BB0FB3">
        <w:rPr>
          <w:b/>
          <w:sz w:val="28"/>
          <w:szCs w:val="28"/>
        </w:rPr>
        <w:tab/>
        <w:t>Введение</w:t>
      </w:r>
    </w:p>
    <w:p w:rsidR="00BB0FB3" w:rsidRPr="00C76DE2" w:rsidRDefault="00730549" w:rsidP="00730549">
      <w:pPr>
        <w:keepNext/>
        <w:keepLines/>
        <w:spacing w:after="120"/>
        <w:ind w:left="1247"/>
        <w:rPr>
          <w:sz w:val="20"/>
        </w:rPr>
      </w:pPr>
      <w:r w:rsidRPr="00C76DE2">
        <w:rPr>
          <w:sz w:val="20"/>
        </w:rPr>
        <w:t>1.</w:t>
      </w:r>
      <w:r w:rsidRPr="00C76DE2">
        <w:rPr>
          <w:sz w:val="20"/>
        </w:rPr>
        <w:tab/>
      </w:r>
      <w:r w:rsidR="00BB0FB3" w:rsidRPr="00C76DE2">
        <w:rPr>
          <w:sz w:val="20"/>
        </w:rPr>
        <w:t>Институциональная архитектура для международного экологического руководства состоит из сложной широкоохватной сети многосторонних учреждений, соглашений, процессов и консультативных механизмов, которые касаются экологических и природоохранных вопросов. Эти учреждения, соглашения, процессы и механизмы следует рассматривать с учетом институциональных рамок для устойчивого развития. В их числе, согласно полномочиям, предписанным Генеральной Асса</w:t>
      </w:r>
      <w:r w:rsidR="00D3440E">
        <w:rPr>
          <w:sz w:val="20"/>
        </w:rPr>
        <w:t>мблеей в резолюции 53/187 от 15 </w:t>
      </w:r>
      <w:r w:rsidR="00BB0FB3" w:rsidRPr="00C76DE2">
        <w:rPr>
          <w:sz w:val="20"/>
        </w:rPr>
        <w:t>декабря 1998 года, Программа Организации Объединенных Наций по окружающей среде является ведущим глобальным природоохранным органом, который определяет глобальную экологическую повестку дня, содействует согласованной реализации экологического компонента устойчивого развития в рамках системы Организации Объединенных Наций и является влиятельным защитником глобальной окружающей среды.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B0FB3" w:rsidRPr="00C76DE2">
        <w:rPr>
          <w:sz w:val="20"/>
        </w:rPr>
        <w:t>В рамках своего дополнительного мандата для активизации международных действий по возникающим экологическим вопросам, представляющим интерес для международного сообщества, и оказанию поддержки международному сотрудничеству в сфере охраны окружающей среды, с момента своего создания ЮНЕП поддерживает правительства в их усилиях по разработке и осуществлению многосторонних природоохранных соглашений, в частности, посредством своей Программы Монтевидео по развитию и периодическому обзору права окружающей среды. ЮНЕП также предоставляла институциональную поддержку секретариату для ведения переговоров по Рамочной конвенции Организации Объединенных Наций об изменении климата и, на региональном уровне, поддерживает правительства в соответствующих регионах в их усилиях по разработке региональных соглашений в сфере окружающей среды, включая ряд конвенций по региональным морям и протоколов, например, для Средиземного моря (Барселонская конвенция), для бассейна Карибского моря (Картахенская конвенция), для Восточно-Африканских региональных морей (Найробийская конвенция) и региональных морей Западной и Центральной Африки (Абиджанская конвенция).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3.</w:t>
      </w:r>
      <w:r w:rsidRPr="00C76DE2">
        <w:rPr>
          <w:sz w:val="20"/>
        </w:rPr>
        <w:tab/>
      </w:r>
      <w:r w:rsidR="00BB0FB3" w:rsidRPr="00C76DE2">
        <w:rPr>
          <w:sz w:val="20"/>
        </w:rPr>
        <w:t>Многосторонние природоохранные соглашения являются независимыми международными юридическими лицами и юридически отличаются от организаций системы Организации Объединенных Наций, даже если они институционально связаны с ними. Руководство ими о</w:t>
      </w:r>
      <w:r w:rsidR="004B4143">
        <w:rPr>
          <w:sz w:val="20"/>
        </w:rPr>
        <w:t>существляется соответствующими С</w:t>
      </w:r>
      <w:r w:rsidR="00BB0FB3" w:rsidRPr="00C76DE2">
        <w:rPr>
          <w:sz w:val="20"/>
        </w:rPr>
        <w:t>торонами, в том числе чер</w:t>
      </w:r>
      <w:r w:rsidR="00D3440E">
        <w:rPr>
          <w:sz w:val="20"/>
        </w:rPr>
        <w:t>ез их руководящие органы, такие</w:t>
      </w:r>
      <w:r w:rsidR="00BB0FB3" w:rsidRPr="00C76DE2">
        <w:rPr>
          <w:sz w:val="20"/>
        </w:rPr>
        <w:t xml:space="preserve"> как конференции </w:t>
      </w:r>
      <w:r w:rsidR="00D3440E">
        <w:rPr>
          <w:sz w:val="20"/>
        </w:rPr>
        <w:t>С</w:t>
      </w:r>
      <w:r w:rsidR="00BB0FB3" w:rsidRPr="00C76DE2">
        <w:rPr>
          <w:sz w:val="20"/>
        </w:rPr>
        <w:t>торон, а их реализация осуществляется в соответствии с положениями этих соглашений и решений этих органов. Политические и финансовые решения руководящих органов многосторонних природоохранных соглашений направляют их осуществление и соответствующие программы работы и обеспечивают директивные указания секретариатам по всем вопросам существа. В принципе, средства для осуществле</w:t>
      </w:r>
      <w:r w:rsidR="00D3440E">
        <w:rPr>
          <w:sz w:val="20"/>
        </w:rPr>
        <w:t>ния соглашений предоставляются С</w:t>
      </w:r>
      <w:r w:rsidR="00BB0FB3" w:rsidRPr="00C76DE2">
        <w:rPr>
          <w:sz w:val="20"/>
        </w:rPr>
        <w:t>торонами соответствующих соглашений. Рядом многосторонних природоохранных соглашений, заключенных после 1970-х годов, были созданы специальные институциональные механизмы для этой цели. Конкретными положениями, содержащимися в каждой конвенции, предусматриваются ключевые функции, прерогативы и обязанности соответствующих руководящих органов и секретариатов для практической реализации соглашений. Органы, которым поручено обеспечивать их секретариаты, обязаны обеспечить эффективное выполнение решений Сторон, в пределах выделенны</w:t>
      </w:r>
      <w:r w:rsidR="00D3440E">
        <w:rPr>
          <w:sz w:val="20"/>
        </w:rPr>
        <w:t>х средств, и выполнение просьб С</w:t>
      </w:r>
      <w:r w:rsidR="00BB0FB3" w:rsidRPr="00C76DE2">
        <w:rPr>
          <w:sz w:val="20"/>
        </w:rPr>
        <w:t>торон.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BB0FB3" w:rsidRPr="00C76DE2">
        <w:rPr>
          <w:sz w:val="20"/>
        </w:rPr>
        <w:t xml:space="preserve">Директору-исполнителю ЮНЕП доверено выполнение функций секретариата для ряда многосторонних природоохранных соглашений, как предусмотрено положениями этих соглашений или </w:t>
      </w:r>
      <w:r w:rsidR="00742814">
        <w:rPr>
          <w:sz w:val="20"/>
        </w:rPr>
        <w:t>согласно</w:t>
      </w:r>
      <w:r w:rsidR="00BB0FB3" w:rsidRPr="00C76DE2">
        <w:rPr>
          <w:sz w:val="20"/>
        </w:rPr>
        <w:t xml:space="preserve"> поручения</w:t>
      </w:r>
      <w:r w:rsidR="00D3440E">
        <w:rPr>
          <w:sz w:val="20"/>
        </w:rPr>
        <w:t>м соответствующих конференций С</w:t>
      </w:r>
      <w:r w:rsidR="00BB0FB3" w:rsidRPr="00C76DE2">
        <w:rPr>
          <w:sz w:val="20"/>
        </w:rPr>
        <w:t xml:space="preserve">торон во исполнение </w:t>
      </w:r>
      <w:r w:rsidR="00742814">
        <w:rPr>
          <w:sz w:val="20"/>
        </w:rPr>
        <w:t>профильных</w:t>
      </w:r>
      <w:r w:rsidR="00BB0FB3" w:rsidRPr="00C76DE2">
        <w:rPr>
          <w:sz w:val="20"/>
        </w:rPr>
        <w:t xml:space="preserve"> положений таких соглашений. Эти механизмы были одобрены руководящим органом ЮНЕП (ранее Совет управляющих, ныне преобразован в Ассамблею по окружающей среде Программы Организации Объединенных Наций по окружающей среде), который поручил Директору-исполнителю выполнение таких функций. Многосторонние природоохранные соглашения, которыми используются эти механизмы, перечислены в приложении I к документу UNEP/EA.2/</w:t>
      </w:r>
      <w:r w:rsidR="00983A20" w:rsidRPr="00983A20">
        <w:rPr>
          <w:sz w:val="20"/>
        </w:rPr>
        <w:t>11/Add.1</w:t>
      </w:r>
      <w:r w:rsidR="00BB0FB3" w:rsidRPr="00C76DE2">
        <w:rPr>
          <w:sz w:val="20"/>
        </w:rPr>
        <w:t xml:space="preserve">. Хотя ЮНЕП было поручено обеспечить секретариаты для этих конвенций, у ЮНЕП и конвенций имеются свои собственные независимые структуры руководства, </w:t>
      </w:r>
      <w:r>
        <w:rPr>
          <w:sz w:val="20"/>
        </w:rPr>
        <w:t>директивные органы и процедуры.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D3440E">
        <w:rPr>
          <w:sz w:val="20"/>
        </w:rPr>
        <w:t>Государствами-членами и С</w:t>
      </w:r>
      <w:r w:rsidR="00BB0FB3" w:rsidRPr="00C76DE2">
        <w:rPr>
          <w:sz w:val="20"/>
        </w:rPr>
        <w:t>торонами соответствующих многосторонних природоохранных соглашений было испрошено проведение анализа институциональных механизмов, регулирующих отношения между ЮНЕП и соглашениями, и, в частности, эффективности услуг секретариата, оказываемых ЮНЕП. В связи с указанным, отношения между ЮНЕП и соглашени</w:t>
      </w:r>
      <w:r w:rsidR="00742814">
        <w:rPr>
          <w:sz w:val="20"/>
        </w:rPr>
        <w:t>ями</w:t>
      </w:r>
      <w:r w:rsidR="00BB0FB3" w:rsidRPr="00C76DE2">
        <w:rPr>
          <w:sz w:val="20"/>
        </w:rPr>
        <w:t xml:space="preserve"> неоднократно доводились до внимания соответствующих руководящих органов и руководящего органа ЮНЕП за последние несколько лет, в том числе </w:t>
      </w:r>
      <w:r w:rsidR="00BB0FB3" w:rsidRPr="00C76DE2">
        <w:rPr>
          <w:sz w:val="20"/>
        </w:rPr>
        <w:lastRenderedPageBreak/>
        <w:t>на двадцать шестой сессии Совета управляющих в 2011 году. Перечень соответствующих решений и резолюций приводится в приложении II к документу UNEP/EA.2/</w:t>
      </w:r>
      <w:r w:rsidR="00983A20" w:rsidRPr="00983A20">
        <w:rPr>
          <w:sz w:val="20"/>
        </w:rPr>
        <w:t>11/Add.1</w:t>
      </w:r>
      <w:r w:rsidR="00BB0FB3" w:rsidRPr="00C76DE2">
        <w:rPr>
          <w:sz w:val="20"/>
        </w:rPr>
        <w:t>.</w:t>
      </w:r>
    </w:p>
    <w:p w:rsidR="00BB0FB3" w:rsidRPr="00C76DE2" w:rsidRDefault="00C76DE2" w:rsidP="00C76DE2">
      <w:pPr>
        <w:spacing w:after="240"/>
        <w:ind w:left="1247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BB0FB3" w:rsidRPr="00C76DE2">
        <w:rPr>
          <w:sz w:val="20"/>
        </w:rPr>
        <w:t>С учетом вышеизложенного в феврале 2014 года Директор-исполнитель ЮНЕП учредил целевую группу в качестве консультативного механизма, призванную провести совместный обзор рекомендаций, полученных в результате состоявшихся ранее консультаций между ЮНЕП и секретариатами этих многосторонних природоохранных соглашений, для которых Программой обеспечивается секретариат (называемые «секретариаты конвенций»), последующей деятельности в связи с ними и текущего состояния и уровня эффективности административных механизмов и прог</w:t>
      </w:r>
      <w:r w:rsidR="00505C2E">
        <w:rPr>
          <w:sz w:val="20"/>
        </w:rPr>
        <w:t>раммного сотрудничества в свете</w:t>
      </w:r>
      <w:r w:rsidR="00BB0FB3" w:rsidRPr="00C76DE2">
        <w:rPr>
          <w:sz w:val="20"/>
        </w:rPr>
        <w:t xml:space="preserve"> соответствующих новых общесистемных для Организации Объединенных Наций и Секретариата административных требований и в ответ на стремление постоянно совершенствовать результативность деятельно</w:t>
      </w:r>
      <w:r>
        <w:rPr>
          <w:sz w:val="20"/>
        </w:rPr>
        <w:t>сти ЮНЕП.</w:t>
      </w:r>
    </w:p>
    <w:p w:rsidR="00BB0FB3" w:rsidRPr="00183959" w:rsidRDefault="00BB0FB3" w:rsidP="00BB0FB3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83959">
        <w:rPr>
          <w:b/>
          <w:sz w:val="28"/>
          <w:szCs w:val="28"/>
        </w:rPr>
        <w:tab/>
        <w:t>II.</w:t>
      </w:r>
      <w:r w:rsidRPr="00183959">
        <w:rPr>
          <w:b/>
          <w:sz w:val="28"/>
          <w:szCs w:val="28"/>
        </w:rPr>
        <w:tab/>
        <w:t xml:space="preserve">Работа целевой группы по вопросам эффективности административных механизмов и программного сотрудничества между ЮНЕП и теми многосторонними природоохранными соглашениями, для которых </w:t>
      </w:r>
      <w:r w:rsidR="00983A20">
        <w:rPr>
          <w:b/>
          <w:sz w:val="28"/>
          <w:szCs w:val="28"/>
        </w:rPr>
        <w:t>ЮНЕП</w:t>
      </w:r>
      <w:r w:rsidRPr="00183959">
        <w:rPr>
          <w:b/>
          <w:sz w:val="28"/>
          <w:szCs w:val="28"/>
        </w:rPr>
        <w:t xml:space="preserve"> обеспечивается секретариат или в</w:t>
      </w:r>
      <w:r w:rsidR="00D70CE8" w:rsidRPr="00183959">
        <w:rPr>
          <w:b/>
          <w:sz w:val="28"/>
          <w:szCs w:val="28"/>
        </w:rPr>
        <w:t>ыполняются функции секретариата</w:t>
      </w:r>
    </w:p>
    <w:p w:rsidR="00BB0FB3" w:rsidRPr="00BB0FB3" w:rsidRDefault="00BB0FB3" w:rsidP="00BB0FB3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BB0FB3">
        <w:rPr>
          <w:b/>
          <w:sz w:val="24"/>
          <w:szCs w:val="24"/>
        </w:rPr>
        <w:tab/>
        <w:t>A.</w:t>
      </w:r>
      <w:r w:rsidRPr="00BB0FB3">
        <w:rPr>
          <w:b/>
          <w:sz w:val="24"/>
          <w:szCs w:val="24"/>
        </w:rPr>
        <w:tab/>
        <w:t>Создание целевой группы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="00BB0FB3" w:rsidRPr="00C76DE2">
        <w:rPr>
          <w:sz w:val="20"/>
        </w:rPr>
        <w:t>Целевая группа состоит из представителей секретариатов конвенций и соответствующих подразделений ЮНЕП; ее председателем</w:t>
      </w:r>
      <w:r w:rsidR="00742814">
        <w:rPr>
          <w:sz w:val="20"/>
        </w:rPr>
        <w:t xml:space="preserve"> является заместитель Директора</w:t>
      </w:r>
      <w:r w:rsidR="00742814">
        <w:rPr>
          <w:sz w:val="20"/>
        </w:rPr>
        <w:noBreakHyphen/>
      </w:r>
      <w:r w:rsidR="00BB0FB3" w:rsidRPr="00C76DE2">
        <w:rPr>
          <w:sz w:val="20"/>
        </w:rPr>
        <w:t>исполнителя. Исполнительный секретарь Конвенции по сохранению мигрирующих видов диких животных явл</w:t>
      </w:r>
      <w:r>
        <w:rPr>
          <w:sz w:val="20"/>
        </w:rPr>
        <w:t>ялся заместителем председателя.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BB0FB3" w:rsidRPr="00C76DE2">
        <w:rPr>
          <w:sz w:val="20"/>
        </w:rPr>
        <w:t>Первая задача целевой группы состояла в подготовке для Директора-исполнителя рекомендаций в отношении более экономичных, эффективных и ориентированных на качество административных механизмов, применяемых ЮНЕП, Отделением Организации Объединенных Наций в Найроби, Отделением Организации Объединенных Наций в Женеве и секретариатами конвенций. Вторая задача группы состояла в том, чтобы предложить Директору-исполнителю рекомендации в отношении укрепления программного сотрудничества между ЮНЕП и секретариатами конвенций. Консультации в</w:t>
      </w:r>
      <w:r>
        <w:rPr>
          <w:sz w:val="20"/>
        </w:rPr>
        <w:t xml:space="preserve"> группе начались 3 февраля 2014 </w:t>
      </w:r>
      <w:r w:rsidR="00BB0FB3" w:rsidRPr="00C76DE2">
        <w:rPr>
          <w:sz w:val="20"/>
        </w:rPr>
        <w:t>года, после чего состоялось еще шесть совещаний в период с июля 2014 года по июнь 2015 года. На ее первом совещании были учреждены две рабочие группы</w:t>
      </w:r>
      <w:r>
        <w:rPr>
          <w:sz w:val="20"/>
        </w:rPr>
        <w:t xml:space="preserve"> – </w:t>
      </w:r>
      <w:r w:rsidR="00BB0FB3" w:rsidRPr="00C76DE2">
        <w:rPr>
          <w:sz w:val="20"/>
        </w:rPr>
        <w:t>по административным механизмам и по программному сотрудничеству. Председателями этих групп были представители секретариатов Конвенции о международной торговле видами дикой фауны и флоры и Конвенции о биологическом разнообразии, соот</w:t>
      </w:r>
      <w:r>
        <w:rPr>
          <w:sz w:val="20"/>
        </w:rPr>
        <w:t>ветственно.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BB0FB3" w:rsidRPr="00C76DE2">
        <w:rPr>
          <w:sz w:val="20"/>
        </w:rPr>
        <w:t>Целевой группой и ее двумя рабочими группами в ходе их обсуждений был рассмотрен ряд соответствующих процессов и документов, как освещено в приложении III</w:t>
      </w:r>
      <w:r w:rsidR="00505C2E">
        <w:rPr>
          <w:sz w:val="20"/>
        </w:rPr>
        <w:t xml:space="preserve"> к документу UNEP/EA.2/</w:t>
      </w:r>
      <w:r w:rsidR="00983A20" w:rsidRPr="00983A20">
        <w:rPr>
          <w:sz w:val="20"/>
        </w:rPr>
        <w:t>11/Add.1</w:t>
      </w:r>
      <w:r w:rsidR="00505C2E">
        <w:rPr>
          <w:sz w:val="20"/>
        </w:rPr>
        <w:t xml:space="preserve">. </w:t>
      </w:r>
      <w:r w:rsidR="00BB0FB3" w:rsidRPr="00C76DE2">
        <w:rPr>
          <w:sz w:val="20"/>
        </w:rPr>
        <w:t xml:space="preserve">В период деятельности целевой группы рядом многосторонних природоохранных соглашений проводились сессии их конференций или совещания </w:t>
      </w:r>
      <w:r w:rsidR="00D3440E">
        <w:rPr>
          <w:sz w:val="20"/>
        </w:rPr>
        <w:t>С</w:t>
      </w:r>
      <w:r w:rsidR="00BB0FB3" w:rsidRPr="00C76DE2">
        <w:rPr>
          <w:sz w:val="20"/>
        </w:rPr>
        <w:t>торон, в ход</w:t>
      </w:r>
      <w:r w:rsidR="00742814">
        <w:rPr>
          <w:sz w:val="20"/>
        </w:rPr>
        <w:t>е</w:t>
      </w:r>
      <w:r w:rsidR="00BB0FB3" w:rsidRPr="00C76DE2">
        <w:rPr>
          <w:sz w:val="20"/>
        </w:rPr>
        <w:t xml:space="preserve"> которых была представлена актуальная информация о работе целевой группы в соответствии с резолюцией 1/12 Ассамблеи Организации Объединенных Наций по окружающей среде. Актуальная информация о работе группы также была представлена Комитету пост</w:t>
      </w:r>
      <w:r>
        <w:rPr>
          <w:sz w:val="20"/>
        </w:rPr>
        <w:t>оянных представителей при ЮНЕП.</w:t>
      </w:r>
    </w:p>
    <w:p w:rsidR="00BB0FB3" w:rsidRPr="00BB0FB3" w:rsidRDefault="00BB0FB3" w:rsidP="00BB0FB3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BB0FB3">
        <w:rPr>
          <w:b/>
          <w:sz w:val="24"/>
          <w:szCs w:val="24"/>
        </w:rPr>
        <w:tab/>
        <w:t>B.</w:t>
      </w:r>
      <w:r w:rsidRPr="00BB0FB3">
        <w:rPr>
          <w:b/>
          <w:sz w:val="24"/>
          <w:szCs w:val="24"/>
        </w:rPr>
        <w:tab/>
        <w:t>Рабочая группа по административным механизмам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BB0FB3" w:rsidRPr="00C76DE2">
        <w:rPr>
          <w:sz w:val="20"/>
        </w:rPr>
        <w:t xml:space="preserve">В состав рабочей группы по административным механизмам входили представители ЮНЕП, Отделения Организации Объединенных Наций в Найроби и секретариатов следующих многосторонних природоохранных соглашений: Базельской конвенции о контроле за трансграничной перевозкой опасных отходов и их удалением;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торговле; Стокгольмской конвенции о стойких органических загрязнителях; Конвенции о биологическом разнообразии; Конвенции по сохранению мигрирующих видов диких животных; Венской конвенции об охране озонового слоя; и Монреальского протокола по веществам, разрушающим озоновый слой, вместе с Многосторонним фондом для осуществления Монреальского протокола; конвенций по региональным морям и планам действий; Рамочной конвенции Организации Объединенных </w:t>
      </w:r>
      <w:r w:rsidR="00BB0FB3" w:rsidRPr="00C76DE2">
        <w:rPr>
          <w:sz w:val="20"/>
        </w:rPr>
        <w:lastRenderedPageBreak/>
        <w:t>Наций по охране и устойчивому развитию Карпат (Карпатская конвенция); и Рамочной конвенции о защите морской среды Каспийского моря (Тегеранская конвенция).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</w:r>
      <w:r w:rsidR="00BB0FB3" w:rsidRPr="00C76DE2">
        <w:rPr>
          <w:sz w:val="20"/>
        </w:rPr>
        <w:t>Проект доклада был подготовлен председателем рабочей группы и представлен председателю целевой группы 5 июня 2015 года</w:t>
      </w:r>
      <w:r w:rsidR="00742814">
        <w:rPr>
          <w:sz w:val="20"/>
        </w:rPr>
        <w:t>,</w:t>
      </w:r>
      <w:r w:rsidR="00BB0FB3" w:rsidRPr="00C76DE2">
        <w:rPr>
          <w:sz w:val="20"/>
        </w:rPr>
        <w:t xml:space="preserve"> и, после завершения требуемого процесса проверки, окончательный вариант доклада был представлен 31 августа 2015 года. Рабочей группе по административным механизмам было поручено рассмотреть следующие аспекты круга ведения целевой группы: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</w:rPr>
        <w:t>а)</w:t>
      </w:r>
      <w:r>
        <w:rPr>
          <w:sz w:val="20"/>
        </w:rPr>
        <w:tab/>
        <w:t>п</w:t>
      </w:r>
      <w:r w:rsidR="00BB0FB3" w:rsidRPr="00C76DE2">
        <w:rPr>
          <w:sz w:val="20"/>
        </w:rPr>
        <w:t>рояснение административных отношений между ЮНЕП, Отделением Организации Объединенных Наций в Найроби, Отделением Организации Объединенных Наций в Женеве и секретариатами конвенций;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b</w:t>
      </w:r>
      <w:r w:rsidRPr="00C76DE2">
        <w:rPr>
          <w:sz w:val="20"/>
        </w:rPr>
        <w:t>)</w:t>
      </w:r>
      <w:r w:rsidRPr="00C76DE2">
        <w:rPr>
          <w:sz w:val="20"/>
        </w:rPr>
        <w:tab/>
      </w:r>
      <w:r>
        <w:rPr>
          <w:sz w:val="20"/>
        </w:rPr>
        <w:t>о</w:t>
      </w:r>
      <w:r w:rsidR="00BB0FB3" w:rsidRPr="00C76DE2">
        <w:rPr>
          <w:sz w:val="20"/>
        </w:rPr>
        <w:t>пределение спектра административных услуг, необходимых секретариатам конвенций, с указанием, предоставляются ли они все в настоящее время;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</w:rPr>
        <w:t>с)</w:t>
      </w:r>
      <w:r>
        <w:rPr>
          <w:sz w:val="20"/>
        </w:rPr>
        <w:tab/>
        <w:t>в</w:t>
      </w:r>
      <w:r w:rsidR="00BB0FB3" w:rsidRPr="00C76DE2">
        <w:rPr>
          <w:sz w:val="20"/>
        </w:rPr>
        <w:t>ыявление соответствующих поставщиков для конкретных услуг и необходимых источников финансирования;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d</w:t>
      </w:r>
      <w:r w:rsidRPr="00C76DE2">
        <w:rPr>
          <w:sz w:val="20"/>
        </w:rPr>
        <w:t>)</w:t>
      </w:r>
      <w:r w:rsidRPr="00C76DE2">
        <w:rPr>
          <w:sz w:val="20"/>
        </w:rPr>
        <w:tab/>
      </w:r>
      <w:r>
        <w:rPr>
          <w:sz w:val="20"/>
        </w:rPr>
        <w:t>и</w:t>
      </w:r>
      <w:r w:rsidR="00BB0FB3" w:rsidRPr="00C76DE2">
        <w:rPr>
          <w:sz w:val="20"/>
        </w:rPr>
        <w:t>зучение качества и рентабельности административных услуг, которые предоставляются в настоящее время ЮНЕП, Отделением Организации Объединенных Наций в Найроби и Отделением Организации Объединенных Наций в Женеве, секретариатам конвенций;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</w:rPr>
        <w:t>е)</w:t>
      </w:r>
      <w:r>
        <w:rPr>
          <w:sz w:val="20"/>
        </w:rPr>
        <w:tab/>
        <w:t>в</w:t>
      </w:r>
      <w:r w:rsidR="00BB0FB3" w:rsidRPr="00C76DE2">
        <w:rPr>
          <w:sz w:val="20"/>
        </w:rPr>
        <w:t>ыявление новых общесистемных административных требований Организации Объединенных Наций, а именно</w:t>
      </w:r>
      <w:r w:rsidR="00005168">
        <w:rPr>
          <w:sz w:val="20"/>
        </w:rPr>
        <w:t xml:space="preserve"> – </w:t>
      </w:r>
      <w:r w:rsidR="00BB0FB3" w:rsidRPr="00C76DE2">
        <w:rPr>
          <w:sz w:val="20"/>
        </w:rPr>
        <w:t xml:space="preserve">принятие Международных стандартов учета в государственном секторе (МСУГС) и новой в рамках всего Секретариата </w:t>
      </w:r>
      <w:r w:rsidR="00B61ADF" w:rsidRPr="00F8342E">
        <w:rPr>
          <w:sz w:val="20"/>
        </w:rPr>
        <w:t xml:space="preserve">системы </w:t>
      </w:r>
      <w:r w:rsidR="00B61ADF">
        <w:rPr>
          <w:sz w:val="20"/>
        </w:rPr>
        <w:t xml:space="preserve">общеорганизационного </w:t>
      </w:r>
      <w:r w:rsidR="00B61ADF" w:rsidRPr="00F8342E">
        <w:rPr>
          <w:sz w:val="20"/>
        </w:rPr>
        <w:t>планирования ресурсов</w:t>
      </w:r>
      <w:r w:rsidR="00AE7E0D">
        <w:rPr>
          <w:sz w:val="20"/>
        </w:rPr>
        <w:t xml:space="preserve"> («Умоджа»</w:t>
      </w:r>
      <w:r w:rsidR="00BB0FB3" w:rsidRPr="00C76DE2">
        <w:rPr>
          <w:sz w:val="20"/>
        </w:rPr>
        <w:t>), вместе с вариантами для выполнения этих требований и связанных с этим последствий для секретариатов конвенций;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f</w:t>
      </w:r>
      <w:r w:rsidRPr="00C76DE2">
        <w:rPr>
          <w:sz w:val="20"/>
        </w:rPr>
        <w:t>)</w:t>
      </w:r>
      <w:r w:rsidRPr="00C76DE2">
        <w:rPr>
          <w:sz w:val="20"/>
        </w:rPr>
        <w:tab/>
      </w:r>
      <w:r>
        <w:rPr>
          <w:sz w:val="20"/>
        </w:rPr>
        <w:t>р</w:t>
      </w:r>
      <w:r w:rsidR="00BB0FB3" w:rsidRPr="00C76DE2">
        <w:rPr>
          <w:sz w:val="20"/>
        </w:rPr>
        <w:t>азработка проекта рамок для определения ролей и обязанностей различных поставщиков услуг при оказании эффективной и действенной административной поддержки секретариатам конвенций через ЮНЕП, включая роли и обязанности Управления обеспечения деятельности и общеорганизационного обслуживания</w:t>
      </w:r>
      <w:r w:rsidR="00983A20">
        <w:rPr>
          <w:sz w:val="20"/>
        </w:rPr>
        <w:t xml:space="preserve"> ЮНЕП</w:t>
      </w:r>
      <w:r w:rsidR="00BB0FB3" w:rsidRPr="00C76DE2">
        <w:rPr>
          <w:sz w:val="20"/>
        </w:rPr>
        <w:t>, роли и обязанности основных отделов ЮНЕП и роли и обязанности поставщиков услуг внутри Организации Объединенных Наций (в частности, Отделение Организации Объединенных Наций в Найроби и Отделение Организации Объединенных Наций в Женеве).</w:t>
      </w:r>
    </w:p>
    <w:p w:rsidR="00BB0FB3" w:rsidRPr="00C76DE2" w:rsidRDefault="00BB0FB3" w:rsidP="00C76DE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C76DE2">
        <w:rPr>
          <w:b/>
          <w:sz w:val="24"/>
          <w:szCs w:val="24"/>
        </w:rPr>
        <w:tab/>
        <w:t>С.</w:t>
      </w:r>
      <w:r w:rsidRPr="00C76DE2">
        <w:rPr>
          <w:b/>
          <w:sz w:val="24"/>
          <w:szCs w:val="24"/>
        </w:rPr>
        <w:tab/>
        <w:t>Рабочая группа по программному сотрудничеству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</w:r>
      <w:r w:rsidR="00BB0FB3" w:rsidRPr="00C76DE2">
        <w:rPr>
          <w:sz w:val="20"/>
        </w:rPr>
        <w:t xml:space="preserve">Председателем рабочей группы по программному сотрудничеству являлся представитель секретариата Конвенции о биологическом разнообразии, а в ее состав входили представители ЮНЕП и секретариатов следующих многосторонних природоохранных соглашений: Конвенции о международной торговле видами дикой фауны и флоры, находящимися под угрозой исчезновения; Конвенции по сохранению мигрирующих видов диких животных; Конвенции о биологическом разнообразии; </w:t>
      </w:r>
      <w:r w:rsidR="00983A20">
        <w:rPr>
          <w:sz w:val="20"/>
        </w:rPr>
        <w:t>Венской конвенции и Монреальского протокола</w:t>
      </w:r>
      <w:r w:rsidR="00BB0FB3" w:rsidRPr="00C76DE2">
        <w:rPr>
          <w:sz w:val="20"/>
        </w:rPr>
        <w:t xml:space="preserve">; </w:t>
      </w:r>
      <w:r w:rsidR="008C39F4">
        <w:rPr>
          <w:sz w:val="20"/>
        </w:rPr>
        <w:t xml:space="preserve">и </w:t>
      </w:r>
      <w:r w:rsidR="00BB0FB3" w:rsidRPr="00C76DE2">
        <w:rPr>
          <w:sz w:val="20"/>
        </w:rPr>
        <w:t>Базельской, Роттердамской и Стокгольмской конвенций. В некоторых случаях были также сформулированы рекомендации, имеющие отношение к Минаматской конвенции по ртути и конвенциям по региональным морям и планам действий.</w:t>
      </w:r>
    </w:p>
    <w:p w:rsidR="00BB0FB3" w:rsidRPr="00C76DE2" w:rsidRDefault="00C76DE2" w:rsidP="00BB0FB3">
      <w:pPr>
        <w:spacing w:after="120"/>
        <w:ind w:left="1247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</w:r>
      <w:r w:rsidR="00BB0FB3" w:rsidRPr="00C76DE2">
        <w:rPr>
          <w:sz w:val="20"/>
        </w:rPr>
        <w:t>Рабочая группа завершила свою работу и представила свой окончательный доклад председателю целевой группы 24 февраля 2015 года. Рабочей группе было поручено рассмотреть следующие аспекты круга ведения целевой группы: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</w:rPr>
        <w:t>а)</w:t>
      </w:r>
      <w:r>
        <w:rPr>
          <w:sz w:val="20"/>
        </w:rPr>
        <w:tab/>
        <w:t>в</w:t>
      </w:r>
      <w:r w:rsidR="00BB0FB3" w:rsidRPr="00C76DE2">
        <w:rPr>
          <w:sz w:val="20"/>
        </w:rPr>
        <w:t>ыявление приоритетных областей для программного сотрудничества;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b</w:t>
      </w:r>
      <w:r w:rsidRPr="00C76DE2">
        <w:rPr>
          <w:sz w:val="20"/>
        </w:rPr>
        <w:t>)</w:t>
      </w:r>
      <w:r w:rsidRPr="00C76DE2">
        <w:rPr>
          <w:sz w:val="20"/>
        </w:rPr>
        <w:tab/>
      </w:r>
      <w:r>
        <w:rPr>
          <w:sz w:val="20"/>
        </w:rPr>
        <w:t>п</w:t>
      </w:r>
      <w:r w:rsidR="00BB0FB3" w:rsidRPr="00C76DE2">
        <w:rPr>
          <w:sz w:val="20"/>
        </w:rPr>
        <w:t>рояснение директив руководящих органов,</w:t>
      </w:r>
      <w:r w:rsidR="00D3440E">
        <w:rPr>
          <w:sz w:val="20"/>
        </w:rPr>
        <w:t xml:space="preserve"> например, решений конференций С</w:t>
      </w:r>
      <w:r w:rsidR="00BB0FB3" w:rsidRPr="00C76DE2">
        <w:rPr>
          <w:sz w:val="20"/>
        </w:rPr>
        <w:t>торон и руководящего органа ЮНЕП, и других документов в сфере стратегии и планирования, например, среднесрочных стратегий, программ работы и т.д.;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</w:rPr>
        <w:t>с)</w:t>
      </w:r>
      <w:r>
        <w:rPr>
          <w:sz w:val="20"/>
        </w:rPr>
        <w:tab/>
        <w:t>п</w:t>
      </w:r>
      <w:r w:rsidR="00BB0FB3" w:rsidRPr="00C76DE2">
        <w:rPr>
          <w:sz w:val="20"/>
        </w:rPr>
        <w:t xml:space="preserve">рояснение и подтверждение резолюций и рекомендаций глобального характера, например, итогов Конференции Организации Объединенных Наций по устойчивому развитию и докладов органов внутреннего надзора Организации Объединенных Наций, например, докладов Объединенной инспекционной группы об управленческом обзоре экологического руководства в рамках системы Организации Объединенных Наций и соответствующих проверок Управления служб внутреннего надзора; </w:t>
      </w:r>
    </w:p>
    <w:p w:rsidR="00BB0FB3" w:rsidRPr="00C76DE2" w:rsidRDefault="00C76DE2" w:rsidP="00C76DE2">
      <w:pPr>
        <w:spacing w:after="120"/>
        <w:ind w:left="1247" w:firstLine="624"/>
        <w:rPr>
          <w:sz w:val="20"/>
        </w:rPr>
      </w:pPr>
      <w:r>
        <w:rPr>
          <w:sz w:val="20"/>
          <w:lang w:val="en-US"/>
        </w:rPr>
        <w:t>d</w:t>
      </w:r>
      <w:r w:rsidRPr="00C76DE2">
        <w:rPr>
          <w:sz w:val="20"/>
        </w:rPr>
        <w:t>)</w:t>
      </w:r>
      <w:r w:rsidRPr="00C76DE2">
        <w:rPr>
          <w:sz w:val="20"/>
        </w:rPr>
        <w:tab/>
      </w:r>
      <w:r>
        <w:rPr>
          <w:sz w:val="20"/>
        </w:rPr>
        <w:t>р</w:t>
      </w:r>
      <w:r w:rsidR="00BB0FB3" w:rsidRPr="00C76DE2">
        <w:rPr>
          <w:sz w:val="20"/>
        </w:rPr>
        <w:t xml:space="preserve">азработка основы для улучшения программного сотрудничества между ЮНЕП и секретариатами конвенций, включая выявление тематических и функциональных областей </w:t>
      </w:r>
      <w:r w:rsidR="00BB0FB3" w:rsidRPr="00C76DE2">
        <w:rPr>
          <w:sz w:val="20"/>
        </w:rPr>
        <w:lastRenderedPageBreak/>
        <w:t>для потенциального укрепления синергии и программного сотрудничества в свете их соответствующ</w:t>
      </w:r>
      <w:r>
        <w:rPr>
          <w:sz w:val="20"/>
        </w:rPr>
        <w:t>их общих и конкретных мандатов.</w:t>
      </w:r>
    </w:p>
    <w:p w:rsidR="00BB0FB3" w:rsidRPr="00C76DE2" w:rsidRDefault="00BB0FB3" w:rsidP="00C76DE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C76DE2">
        <w:rPr>
          <w:b/>
          <w:sz w:val="24"/>
          <w:szCs w:val="24"/>
        </w:rPr>
        <w:tab/>
        <w:t>D.</w:t>
      </w:r>
      <w:r w:rsidRPr="00C76DE2">
        <w:rPr>
          <w:b/>
          <w:sz w:val="24"/>
          <w:szCs w:val="24"/>
        </w:rPr>
        <w:tab/>
        <w:t>Краткое изложение обсуждений и всеобъемлющих рекомендаций</w:t>
      </w:r>
    </w:p>
    <w:p w:rsidR="00BB0FB3" w:rsidRPr="00C76DE2" w:rsidRDefault="00433144" w:rsidP="00BB0FB3">
      <w:pPr>
        <w:spacing w:after="120"/>
        <w:ind w:left="1247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</w:r>
      <w:r w:rsidR="00BB0FB3" w:rsidRPr="00C76DE2">
        <w:rPr>
          <w:sz w:val="20"/>
        </w:rPr>
        <w:t xml:space="preserve">Отношения между ЮНЕП и секретариатами конвенций являлись предметом многочисленных консультаций в прошлом. Эти консультации были в основном посвящены административным механизмам, но некоторые из них также касались вопросов программного сотрудничества. В ходе этих консультаций также рассматривались роль и функции поставщиков услуг для секретариатов соответствующих конвенций, например, Отделения Организации Объединенных Наций в Найроби, Отделения Организации Объединенных Наций в Женеве и Отделения Организации Объединенных Наций в </w:t>
      </w:r>
      <w:r>
        <w:rPr>
          <w:sz w:val="20"/>
        </w:rPr>
        <w:t>Вене, и их взаимосвязь с ЮНЕП.</w:t>
      </w:r>
    </w:p>
    <w:p w:rsidR="00BB0FB3" w:rsidRPr="00C76DE2" w:rsidRDefault="00433144" w:rsidP="00742814">
      <w:pPr>
        <w:spacing w:after="120"/>
        <w:ind w:left="1247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</w:r>
      <w:r w:rsidR="00BB0FB3" w:rsidRPr="00C76DE2">
        <w:rPr>
          <w:sz w:val="20"/>
        </w:rPr>
        <w:t>Целевой группой был сделан вывод, что между ЮНЕП и конвенциями уже осуществляется плодотворное программное сотрудничество в значительных объемах. Это сотрудничество следует осуществлять далее и укреплять на различных уровнях и по многим вопросам. Возможные области для возобновления и укрепления сотрудничества – с взаимной выгодой для ЮНЕП и конвенций в будущем – включают: своевременную координацию по вопросам программного характера, включая подготовку программ работы, оказание поддержки правительствам и техническую помощь на национальном уровне, осуществление на региональном уровне и информационное обеспечение и пропагандистскую деятельность. С учетом возможных расходов и кадровых последстви</w:t>
      </w:r>
      <w:r w:rsidR="00742814">
        <w:rPr>
          <w:sz w:val="20"/>
        </w:rPr>
        <w:t>й</w:t>
      </w:r>
      <w:r w:rsidR="00BB0FB3" w:rsidRPr="00C76DE2">
        <w:rPr>
          <w:sz w:val="20"/>
        </w:rPr>
        <w:t xml:space="preserve"> в рамках будущих совместных консультаций следует оценивать рентабельность мероприятий и установлен</w:t>
      </w:r>
      <w:r w:rsidR="00C76DE2">
        <w:rPr>
          <w:sz w:val="20"/>
        </w:rPr>
        <w:t>ие приоритетов в этих областях.</w:t>
      </w:r>
      <w:r w:rsidR="00742814">
        <w:rPr>
          <w:sz w:val="20"/>
        </w:rPr>
        <w:t xml:space="preserve"> </w:t>
      </w:r>
      <w:r w:rsidR="00BB0FB3" w:rsidRPr="00C76DE2">
        <w:rPr>
          <w:sz w:val="20"/>
        </w:rPr>
        <w:t>Кроме того, любые мероприятия, проводимые ЮНЕП и конвенциями, должны отвечать их соответствующим мандатам и приоритетам, которые со временем могут меняться. Административные и программные отношения между ЮНЕП и конвенциями имеют обособленный и индивидуальный характер, а наличие административных отношений не является поводом для автоматических последствий для программных отношений.</w:t>
      </w:r>
    </w:p>
    <w:p w:rsidR="00BB0FB3" w:rsidRPr="00C76DE2" w:rsidRDefault="00433144" w:rsidP="00BB0FB3">
      <w:pPr>
        <w:spacing w:after="120"/>
        <w:ind w:left="1247"/>
        <w:rPr>
          <w:sz w:val="20"/>
        </w:rPr>
      </w:pPr>
      <w:r>
        <w:rPr>
          <w:sz w:val="20"/>
        </w:rPr>
        <w:t>1</w:t>
      </w:r>
      <w:r w:rsidR="00742814">
        <w:rPr>
          <w:sz w:val="20"/>
        </w:rPr>
        <w:t>6</w:t>
      </w:r>
      <w:r>
        <w:rPr>
          <w:sz w:val="20"/>
        </w:rPr>
        <w:t>.</w:t>
      </w:r>
      <w:r>
        <w:rPr>
          <w:sz w:val="20"/>
        </w:rPr>
        <w:tab/>
      </w:r>
      <w:r w:rsidR="00BB0FB3" w:rsidRPr="00C76DE2">
        <w:rPr>
          <w:sz w:val="20"/>
        </w:rPr>
        <w:t>При проведении оценки способов улучшения программного сотрудничества целевой группой также учитывались различные мандаты и роли ЮНЕП и конвенций. ЮНЕП и конвенции различаются по их правовой природе и функциям. ЮНЕП является ведущим глобальным природоохранным органом, который определяет глобальную экологическую повестку дня, содействует согласованной реализации экологического компонента устойчивого развития в рамках системы Организации Объединенных Наций и является авторитетным защитником глобальной окружающей среды. Ее секре</w:t>
      </w:r>
      <w:r w:rsidR="00742814">
        <w:rPr>
          <w:sz w:val="20"/>
        </w:rPr>
        <w:t>тариат возглавляется Директором</w:t>
      </w:r>
      <w:r w:rsidR="00742814">
        <w:rPr>
          <w:sz w:val="20"/>
        </w:rPr>
        <w:noBreakHyphen/>
      </w:r>
      <w:r w:rsidR="00BB0FB3" w:rsidRPr="00C76DE2">
        <w:rPr>
          <w:sz w:val="20"/>
        </w:rPr>
        <w:t>исполнителем. В свою очередь, многосторонние природоохранные соглашения являются юридически обязательными документами, которыми вносится значительный вклад в устойчивое развитие и которыми осуществляется координация и сотрудничество друг с другом и с системой Организации Объединенных Наций. Роли и функции секретариатов конвенций изложены в положениях соответствующих конвенций, а</w:t>
      </w:r>
      <w:r w:rsidR="00D3440E">
        <w:rPr>
          <w:sz w:val="20"/>
        </w:rPr>
        <w:t xml:space="preserve"> также в резолюциях и решениях С</w:t>
      </w:r>
      <w:r w:rsidR="00983A20">
        <w:rPr>
          <w:sz w:val="20"/>
        </w:rPr>
        <w:t>торон</w:t>
      </w:r>
      <w:r w:rsidR="00BB0FB3" w:rsidRPr="00C76DE2">
        <w:rPr>
          <w:sz w:val="20"/>
        </w:rPr>
        <w:t>. У каждого секретариата конвенции имеется исполнительны</w:t>
      </w:r>
      <w:r w:rsidR="00742814">
        <w:rPr>
          <w:sz w:val="20"/>
        </w:rPr>
        <w:t>й руководитель. Роль ЮНЕП или ее</w:t>
      </w:r>
      <w:r w:rsidR="00BB0FB3" w:rsidRPr="00C76DE2">
        <w:rPr>
          <w:sz w:val="20"/>
        </w:rPr>
        <w:t xml:space="preserve"> Директора-исполнителя в связи с обеспечением конвенций секретариатами также изложена в положениях </w:t>
      </w:r>
      <w:r w:rsidR="00D3440E">
        <w:rPr>
          <w:sz w:val="20"/>
        </w:rPr>
        <w:t>конвенций, резолюций и решений С</w:t>
      </w:r>
      <w:r w:rsidR="00BB0FB3" w:rsidRPr="00C76DE2">
        <w:rPr>
          <w:sz w:val="20"/>
        </w:rPr>
        <w:t>торон и соответствующих решениях руководящего органа ЮНЕП. Роль и функции секретариатов конвенций значительно различаются, но об</w:t>
      </w:r>
      <w:r w:rsidR="00D3440E">
        <w:rPr>
          <w:sz w:val="20"/>
        </w:rPr>
        <w:t>щим для всех является оказание С</w:t>
      </w:r>
      <w:r w:rsidR="00BB0FB3" w:rsidRPr="00C76DE2">
        <w:rPr>
          <w:sz w:val="20"/>
        </w:rPr>
        <w:t>торонам содействия в достижении и выполнении целей и обязательств, содержащихся в соответствующих соглашениях. В целом, работа секретариатов конвенций состоит в созыве совещаний под руководством руководящих органов конвенции и предоставлении других видов поддержки (те</w:t>
      </w:r>
      <w:r w:rsidR="00D3440E">
        <w:rPr>
          <w:sz w:val="20"/>
        </w:rPr>
        <w:t>хнической, директивной и т.д.) С</w:t>
      </w:r>
      <w:r w:rsidR="00BB0FB3" w:rsidRPr="00C76DE2">
        <w:rPr>
          <w:sz w:val="20"/>
        </w:rPr>
        <w:t>торонам в их усилиях по выполнению своих обязательств, хотя некоторые секретариаты конвенций также принимают активное участие в осуществлении контроля за соблюдением и содействии соблюдению, в проведении обзоров осущест</w:t>
      </w:r>
      <w:r w:rsidR="00D3440E">
        <w:rPr>
          <w:sz w:val="20"/>
        </w:rPr>
        <w:t>вления, в привлечении внимания С</w:t>
      </w:r>
      <w:r w:rsidR="00BB0FB3" w:rsidRPr="00C76DE2">
        <w:rPr>
          <w:sz w:val="20"/>
        </w:rPr>
        <w:t>торон к вопросам и в предоставлении замечаний по проектам поправок, резолюций и решений. Если конкретные мероприятия могут меняться, общие программные цели остаются теми же, хотя роль некоторых секретариатов существенно</w:t>
      </w:r>
      <w:r w:rsidR="00C76DE2">
        <w:rPr>
          <w:sz w:val="20"/>
        </w:rPr>
        <w:t xml:space="preserve"> изменилась с течением времени.</w:t>
      </w:r>
    </w:p>
    <w:p w:rsidR="00BB0FB3" w:rsidRPr="00C76DE2" w:rsidRDefault="00433144" w:rsidP="00BB0FB3">
      <w:pPr>
        <w:spacing w:after="120"/>
        <w:ind w:left="1247"/>
        <w:rPr>
          <w:sz w:val="20"/>
        </w:rPr>
      </w:pPr>
      <w:r>
        <w:rPr>
          <w:sz w:val="20"/>
        </w:rPr>
        <w:t>1</w:t>
      </w:r>
      <w:r w:rsidR="00742814">
        <w:rPr>
          <w:sz w:val="20"/>
        </w:rPr>
        <w:t>7</w:t>
      </w:r>
      <w:r>
        <w:rPr>
          <w:sz w:val="20"/>
        </w:rPr>
        <w:t>.</w:t>
      </w:r>
      <w:r>
        <w:rPr>
          <w:sz w:val="20"/>
        </w:rPr>
        <w:tab/>
      </w:r>
      <w:r w:rsidR="00BB0FB3" w:rsidRPr="00C76DE2">
        <w:rPr>
          <w:sz w:val="20"/>
        </w:rPr>
        <w:t>ЮНЕП, совместно с другими органами Организации Объединенных Наций и другими учреждениями, работа</w:t>
      </w:r>
      <w:r w:rsidR="00742814">
        <w:rPr>
          <w:sz w:val="20"/>
        </w:rPr>
        <w:t>е</w:t>
      </w:r>
      <w:r w:rsidR="00BB0FB3" w:rsidRPr="00C76DE2">
        <w:rPr>
          <w:sz w:val="20"/>
        </w:rPr>
        <w:t>т в качестве партнеров с секретариатами различных конвенций для оказания поддержки странам в выполнении их обязательств в рамках многосторонних природоохранных соглашений. Этими партнерами могут быть органы, занимающиеся вопросами окружающей среды, но во многих случаях они также могут обладать весьма различными мандатами и экспертным потенциалом в сфере развития, природных ресурсов или торговли. ЮНЕП является одним из учреждений</w:t>
      </w:r>
      <w:r w:rsidR="00742814">
        <w:rPr>
          <w:sz w:val="20"/>
        </w:rPr>
        <w:t xml:space="preserve"> – </w:t>
      </w:r>
      <w:r w:rsidR="00BB0FB3" w:rsidRPr="00C76DE2">
        <w:rPr>
          <w:sz w:val="20"/>
        </w:rPr>
        <w:t>исполнителей Глобального экологического фонда (ГЭФ), а также одним из учреждений</w:t>
      </w:r>
      <w:r w:rsidR="00742814">
        <w:rPr>
          <w:sz w:val="20"/>
        </w:rPr>
        <w:t xml:space="preserve"> – </w:t>
      </w:r>
      <w:r w:rsidR="00BB0FB3" w:rsidRPr="00C76DE2">
        <w:rPr>
          <w:sz w:val="20"/>
        </w:rPr>
        <w:t xml:space="preserve">исполнителей Многостороннего фонда для осуществления Монреальского протокола. В этой роли ЮНЕП оказывает содействие </w:t>
      </w:r>
      <w:r w:rsidR="00D3440E">
        <w:rPr>
          <w:sz w:val="20"/>
        </w:rPr>
        <w:t>С</w:t>
      </w:r>
      <w:r w:rsidR="00BB0FB3" w:rsidRPr="00C76DE2">
        <w:rPr>
          <w:sz w:val="20"/>
        </w:rPr>
        <w:t xml:space="preserve">торонам </w:t>
      </w:r>
      <w:r w:rsidR="00BB0FB3" w:rsidRPr="00C76DE2">
        <w:rPr>
          <w:sz w:val="20"/>
        </w:rPr>
        <w:lastRenderedPageBreak/>
        <w:t>многосторонних природоохранных соглашений в осуществлении их договорных обязательств, которые относятся к ведению ГЭФ и Многостороннего фонда. Напротив, целями конвенций, как правило, не устанавливается оказание содействи</w:t>
      </w:r>
      <w:r w:rsidR="00742814">
        <w:rPr>
          <w:sz w:val="20"/>
        </w:rPr>
        <w:t>я</w:t>
      </w:r>
      <w:r w:rsidR="00BB0FB3" w:rsidRPr="00C76DE2">
        <w:rPr>
          <w:sz w:val="20"/>
        </w:rPr>
        <w:t xml:space="preserve"> ЮНЕП в осуществлении ее программы работы, но могут определяться задачи и интересы, являющиеся общими с ЮНЕП, благодаря чему они оказывают содействие ЮНЕП в выполнении ее мандата посредством мероприят</w:t>
      </w:r>
      <w:r w:rsidR="00C76DE2">
        <w:rPr>
          <w:sz w:val="20"/>
        </w:rPr>
        <w:t>ий в рамках их специализации.</w:t>
      </w:r>
    </w:p>
    <w:p w:rsidR="00BB0FB3" w:rsidRPr="00C76DE2" w:rsidRDefault="00433144" w:rsidP="00BB0FB3">
      <w:pPr>
        <w:spacing w:after="120"/>
        <w:ind w:left="1247"/>
        <w:rPr>
          <w:sz w:val="20"/>
        </w:rPr>
      </w:pPr>
      <w:r>
        <w:rPr>
          <w:sz w:val="20"/>
        </w:rPr>
        <w:t>1</w:t>
      </w:r>
      <w:r w:rsidR="00742814">
        <w:rPr>
          <w:sz w:val="20"/>
        </w:rPr>
        <w:t>8</w:t>
      </w:r>
      <w:r>
        <w:rPr>
          <w:sz w:val="20"/>
        </w:rPr>
        <w:t>.</w:t>
      </w:r>
      <w:r>
        <w:rPr>
          <w:sz w:val="20"/>
        </w:rPr>
        <w:tab/>
      </w:r>
      <w:r w:rsidR="00BB0FB3" w:rsidRPr="00C76DE2">
        <w:rPr>
          <w:sz w:val="20"/>
        </w:rPr>
        <w:t>Одной из наиболее важных мер, которая может быть принята для совершенствования программного сотрудничества, является учет ЮНЕП приоритетов конвенций в своей собственной программе работ</w:t>
      </w:r>
      <w:r w:rsidR="00742814">
        <w:rPr>
          <w:sz w:val="20"/>
        </w:rPr>
        <w:t>ы</w:t>
      </w:r>
      <w:r w:rsidR="00BB0FB3" w:rsidRPr="00C76DE2">
        <w:rPr>
          <w:sz w:val="20"/>
        </w:rPr>
        <w:t xml:space="preserve"> в той мере, в которой они связаны с мандатом ЮНЕП. Наличие процесса для определения этих приоритетов и для содействия их рассмотрению ЮНЕП, в целях включения их в свою среднесрочную стратегию и программу работы, сделает возможным более полное согласование близких приоритетов. ЮНЕП и конвенциям, через их секретариаты, следует отразить в рамках этой дискуссии свое видение соответствующих приоритетов и проектов посредством открытого и транспарентного процесса, который позволит двум группам учреждений добиться более тесного и согласованного сотрудничества.</w:t>
      </w:r>
    </w:p>
    <w:p w:rsidR="00BB0FB3" w:rsidRPr="00C76DE2" w:rsidRDefault="00742814" w:rsidP="00BB0FB3">
      <w:pPr>
        <w:spacing w:after="120"/>
        <w:ind w:left="1247"/>
        <w:rPr>
          <w:sz w:val="20"/>
        </w:rPr>
      </w:pPr>
      <w:r>
        <w:rPr>
          <w:sz w:val="20"/>
        </w:rPr>
        <w:t>19</w:t>
      </w:r>
      <w:r w:rsidR="00433144">
        <w:rPr>
          <w:sz w:val="20"/>
        </w:rPr>
        <w:t>.</w:t>
      </w:r>
      <w:r w:rsidR="00433144">
        <w:rPr>
          <w:sz w:val="20"/>
        </w:rPr>
        <w:tab/>
      </w:r>
      <w:r w:rsidR="00BB0FB3" w:rsidRPr="00C76DE2">
        <w:rPr>
          <w:sz w:val="20"/>
        </w:rPr>
        <w:t>По вопросам административных механизмов ЮНЕП и секретариатам конвенций необходимо регулярно консультироваться друг с другом. Письменные и согласованные административные договоренности с соответствующими руководящими органами и делегирование полномочий между Директором-исполнителем и исполнительными руководителями секретариатов помогают прояснить административные взаимоотношения между ними. Тем не менее, следует провести дополнительную работу, для того чтобы четко обозначить административные отношения между ЮНЕП, Отделением Организации Объединенных Наций в Найроби, Отделением Организации Объединенных Наций в Женеве, Отделением Организации Объединенных Наций в Вене и конвенциями, особенно с учето</w:t>
      </w:r>
      <w:r w:rsidR="00ED0856">
        <w:rPr>
          <w:sz w:val="20"/>
        </w:rPr>
        <w:t>м перехода на систему «Умоджа»</w:t>
      </w:r>
      <w:r w:rsidR="00C76DE2">
        <w:rPr>
          <w:sz w:val="20"/>
        </w:rPr>
        <w:t>.</w:t>
      </w:r>
    </w:p>
    <w:p w:rsidR="00BB0FB3" w:rsidRPr="00C76DE2" w:rsidRDefault="00433144" w:rsidP="00BB0FB3">
      <w:pPr>
        <w:spacing w:after="120"/>
        <w:ind w:left="1247"/>
        <w:rPr>
          <w:sz w:val="20"/>
        </w:rPr>
      </w:pPr>
      <w:r>
        <w:rPr>
          <w:sz w:val="20"/>
        </w:rPr>
        <w:t>2</w:t>
      </w:r>
      <w:r w:rsidR="00742814">
        <w:rPr>
          <w:sz w:val="20"/>
        </w:rPr>
        <w:t>0</w:t>
      </w:r>
      <w:r>
        <w:rPr>
          <w:sz w:val="20"/>
        </w:rPr>
        <w:t>.</w:t>
      </w:r>
      <w:r>
        <w:rPr>
          <w:sz w:val="20"/>
        </w:rPr>
        <w:tab/>
      </w:r>
      <w:r w:rsidR="00BB0FB3" w:rsidRPr="00C76DE2">
        <w:rPr>
          <w:sz w:val="20"/>
        </w:rPr>
        <w:t>Целевая группа также сообщила, что, хотя ЮНЕП обеспечивает секретариаты для ряда многосторонних природоохранных соглашений, секретариаты конвенций в первую очередь подотчетны руководящим органам своих соответствующих конвенций. ЮНЕП и каждому секретариату следует работать вместе для разработки специализированных механизмов предоставления необходимых административных услуг в соответствии с нормативными документами Организации Объединенных Наций, правилами и основными ценностями, а также с учетом требований подотчетности для ЮНЕП и многосторонних природоохранных соглашений (принимая во внимание наличие письменных соглашений между некоторыми конвенциями и ЮНЕП). Такие совместные усилия должны включать обзор характера и достаточности существующих систем соглашений об оказании услуг, которые влияют на способность секретариатов оказыват</w:t>
      </w:r>
      <w:r w:rsidR="00D3440E">
        <w:rPr>
          <w:sz w:val="20"/>
        </w:rPr>
        <w:t>ь услуги своим соответствующим С</w:t>
      </w:r>
      <w:r w:rsidR="00BB0FB3" w:rsidRPr="00C76DE2">
        <w:rPr>
          <w:sz w:val="20"/>
        </w:rPr>
        <w:t>торонам.</w:t>
      </w:r>
    </w:p>
    <w:p w:rsidR="00BB0FB3" w:rsidRPr="00C76DE2" w:rsidRDefault="00742814" w:rsidP="00BB0FB3">
      <w:pPr>
        <w:spacing w:after="120"/>
        <w:ind w:left="1247"/>
        <w:rPr>
          <w:sz w:val="20"/>
        </w:rPr>
      </w:pPr>
      <w:r>
        <w:rPr>
          <w:sz w:val="20"/>
        </w:rPr>
        <w:t>21</w:t>
      </w:r>
      <w:r w:rsidR="00433144">
        <w:rPr>
          <w:sz w:val="20"/>
        </w:rPr>
        <w:t>.</w:t>
      </w:r>
      <w:r w:rsidR="00433144">
        <w:rPr>
          <w:sz w:val="20"/>
        </w:rPr>
        <w:tab/>
      </w:r>
      <w:r w:rsidR="00BB0FB3" w:rsidRPr="00C76DE2">
        <w:rPr>
          <w:sz w:val="20"/>
        </w:rPr>
        <w:t xml:space="preserve">В итоге, целевой группой было рекомендовано </w:t>
      </w:r>
      <w:r w:rsidRPr="00C76DE2">
        <w:rPr>
          <w:sz w:val="20"/>
        </w:rPr>
        <w:t xml:space="preserve">сначала </w:t>
      </w:r>
      <w:r>
        <w:rPr>
          <w:sz w:val="20"/>
        </w:rPr>
        <w:t>изме</w:t>
      </w:r>
      <w:r w:rsidRPr="00C76DE2">
        <w:rPr>
          <w:sz w:val="20"/>
        </w:rPr>
        <w:t>ни</w:t>
      </w:r>
      <w:r>
        <w:rPr>
          <w:sz w:val="20"/>
        </w:rPr>
        <w:t>ть</w:t>
      </w:r>
      <w:r w:rsidRPr="00C76DE2">
        <w:rPr>
          <w:sz w:val="20"/>
        </w:rPr>
        <w:t xml:space="preserve"> бизнес-процесс</w:t>
      </w:r>
      <w:r>
        <w:rPr>
          <w:sz w:val="20"/>
        </w:rPr>
        <w:t>ы</w:t>
      </w:r>
      <w:r w:rsidRPr="00C76DE2">
        <w:rPr>
          <w:sz w:val="20"/>
        </w:rPr>
        <w:t xml:space="preserve"> ЮНЕП и секретариатов конвенций применительно к их взаимодействию друг с другом</w:t>
      </w:r>
      <w:r>
        <w:rPr>
          <w:sz w:val="20"/>
        </w:rPr>
        <w:t>,</w:t>
      </w:r>
      <w:r w:rsidRPr="00C76DE2">
        <w:rPr>
          <w:sz w:val="20"/>
        </w:rPr>
        <w:t xml:space="preserve"> </w:t>
      </w:r>
      <w:r w:rsidR="00BB0FB3" w:rsidRPr="00C76DE2">
        <w:rPr>
          <w:sz w:val="20"/>
        </w:rPr>
        <w:t>для того чтобы ее усилия привели к изменению в организационной культуре,. Опираясь на значительный прогресс, который уже был достигнут в последние годы – и принимая во внимание административные задержки и транзакционные издержки, вызванные пере</w:t>
      </w:r>
      <w:r w:rsidR="00AE7E0D">
        <w:rPr>
          <w:sz w:val="20"/>
        </w:rPr>
        <w:t>ходом на систему «Умоджа»</w:t>
      </w:r>
      <w:r w:rsidR="00BB0FB3" w:rsidRPr="00C76DE2">
        <w:rPr>
          <w:sz w:val="20"/>
        </w:rPr>
        <w:t xml:space="preserve"> – следует внедрить итеративный консультативный процесс, для того чтобы обеспечить дополнительное обсуждение, разработку и приоритизацию направлений и мероприятий для более эффективных административных процедур и укрепления программного сотрудничества.</w:t>
      </w:r>
    </w:p>
    <w:p w:rsidR="00BB0FB3" w:rsidRPr="00C76DE2" w:rsidRDefault="00742814" w:rsidP="00BB0FB3">
      <w:pPr>
        <w:spacing w:after="120"/>
        <w:ind w:left="1247"/>
        <w:rPr>
          <w:sz w:val="20"/>
        </w:rPr>
      </w:pPr>
      <w:r>
        <w:rPr>
          <w:sz w:val="20"/>
        </w:rPr>
        <w:t>22</w:t>
      </w:r>
      <w:r w:rsidR="00433144">
        <w:rPr>
          <w:sz w:val="20"/>
        </w:rPr>
        <w:t>.</w:t>
      </w:r>
      <w:r w:rsidR="00433144">
        <w:rPr>
          <w:sz w:val="20"/>
        </w:rPr>
        <w:tab/>
      </w:r>
      <w:r w:rsidR="00BB0FB3" w:rsidRPr="00C76DE2">
        <w:rPr>
          <w:sz w:val="20"/>
        </w:rPr>
        <w:t>Целевой группой было рекомендовано осуществление ряда времязависимых пунктов из числа ее рекомендаций в приоритетном порядке, а в качестве требующих неотложного внимания были согласованы следующие направления:</w:t>
      </w:r>
    </w:p>
    <w:p w:rsidR="00BB0FB3" w:rsidRPr="00C76DE2" w:rsidRDefault="00742814" w:rsidP="00433144">
      <w:pPr>
        <w:spacing w:after="120"/>
        <w:ind w:left="1247" w:firstLine="624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</w:r>
      <w:r w:rsidRPr="00742814">
        <w:rPr>
          <w:i/>
          <w:sz w:val="20"/>
        </w:rPr>
        <w:t>п</w:t>
      </w:r>
      <w:r w:rsidR="00BB0FB3" w:rsidRPr="00742814">
        <w:rPr>
          <w:i/>
          <w:sz w:val="20"/>
        </w:rPr>
        <w:t>рограмма</w:t>
      </w:r>
      <w:r w:rsidR="00BB0FB3" w:rsidRPr="00C76DE2">
        <w:rPr>
          <w:sz w:val="20"/>
        </w:rPr>
        <w:t>: разработка новой средн</w:t>
      </w:r>
      <w:r w:rsidR="00433144">
        <w:rPr>
          <w:sz w:val="20"/>
        </w:rPr>
        <w:t>есрочной стратегии ЮНЕП на 2018</w:t>
      </w:r>
      <w:r w:rsidR="00433144">
        <w:rPr>
          <w:sz w:val="20"/>
        </w:rPr>
        <w:noBreakHyphen/>
        <w:t>2021 </w:t>
      </w:r>
      <w:r w:rsidR="00BB0FB3" w:rsidRPr="00C76DE2">
        <w:rPr>
          <w:sz w:val="20"/>
        </w:rPr>
        <w:t>годы с учетом пожеланий ЮНЕП и секретариатов конвенций в отношении общих приоритетов и включение пожеланий, в том числе в отношении общих приоритетов, в программу работы ЮНЕП на 2018-2019 годы и связанные с ней проекты с участием секретариатов конвенций, где это уместно;</w:t>
      </w:r>
    </w:p>
    <w:p w:rsidR="00BB0FB3" w:rsidRPr="00C76DE2" w:rsidRDefault="00742814" w:rsidP="00433144">
      <w:pPr>
        <w:spacing w:after="120"/>
        <w:ind w:left="1247" w:firstLine="624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</w:r>
      <w:r w:rsidRPr="00742814">
        <w:rPr>
          <w:i/>
          <w:sz w:val="20"/>
        </w:rPr>
        <w:t>а</w:t>
      </w:r>
      <w:r w:rsidR="00BB0FB3" w:rsidRPr="00742814">
        <w:rPr>
          <w:i/>
          <w:sz w:val="20"/>
        </w:rPr>
        <w:t>дминистрация</w:t>
      </w:r>
      <w:r w:rsidR="00BB0FB3" w:rsidRPr="00C76DE2">
        <w:rPr>
          <w:sz w:val="20"/>
        </w:rPr>
        <w:t>: оценка и учет послед</w:t>
      </w:r>
      <w:r w:rsidR="00ED0856">
        <w:rPr>
          <w:sz w:val="20"/>
        </w:rPr>
        <w:t>ствий внедрения системы «Умоджа»</w:t>
      </w:r>
      <w:r w:rsidR="00BB0FB3" w:rsidRPr="00C76DE2">
        <w:rPr>
          <w:sz w:val="20"/>
        </w:rPr>
        <w:t xml:space="preserve"> и обеспечение эффективного и действенного оказания специализированных административных услуг секретариатам конвенций, в том числе с целью более полного информирования </w:t>
      </w:r>
      <w:r w:rsidR="00D3440E">
        <w:rPr>
          <w:sz w:val="20"/>
        </w:rPr>
        <w:t>соответствующих С</w:t>
      </w:r>
      <w:r w:rsidR="00BB0FB3" w:rsidRPr="00C76DE2">
        <w:rPr>
          <w:sz w:val="20"/>
        </w:rPr>
        <w:t>торон о любых конкретных последств</w:t>
      </w:r>
      <w:r w:rsidR="00ED0856">
        <w:rPr>
          <w:sz w:val="20"/>
        </w:rPr>
        <w:t>иях, которые внедрение системы «</w:t>
      </w:r>
      <w:r w:rsidR="00BB0FB3" w:rsidRPr="00C76DE2">
        <w:rPr>
          <w:sz w:val="20"/>
        </w:rPr>
        <w:t>Умоджа</w:t>
      </w:r>
      <w:r w:rsidR="00ED0856">
        <w:rPr>
          <w:sz w:val="20"/>
        </w:rPr>
        <w:t>»</w:t>
      </w:r>
      <w:r w:rsidR="00BB0FB3" w:rsidRPr="00C76DE2">
        <w:rPr>
          <w:sz w:val="20"/>
        </w:rPr>
        <w:t xml:space="preserve"> будет иметь для деятельности и работы секретариатов конвенций; и, в наиболее благоприятное время, возобновление делегирования полномочий управленческому персоналу, </w:t>
      </w:r>
      <w:r w:rsidR="00BB0FB3" w:rsidRPr="00C76DE2">
        <w:rPr>
          <w:sz w:val="20"/>
        </w:rPr>
        <w:lastRenderedPageBreak/>
        <w:t>которое было временно приостановлено в целях подготовки к вводу в</w:t>
      </w:r>
      <w:r w:rsidR="00ED0856">
        <w:rPr>
          <w:sz w:val="20"/>
        </w:rPr>
        <w:t xml:space="preserve"> эксплуатацию системы «Умоджа»</w:t>
      </w:r>
      <w:r w:rsidR="00433144">
        <w:rPr>
          <w:sz w:val="20"/>
        </w:rPr>
        <w:t>.</w:t>
      </w:r>
    </w:p>
    <w:p w:rsidR="00BB0FB3" w:rsidRPr="00C76DE2" w:rsidRDefault="00433144" w:rsidP="00C76DE2">
      <w:pPr>
        <w:spacing w:after="240"/>
        <w:ind w:left="1247"/>
        <w:rPr>
          <w:sz w:val="20"/>
        </w:rPr>
      </w:pPr>
      <w:r>
        <w:rPr>
          <w:sz w:val="20"/>
        </w:rPr>
        <w:t>2</w:t>
      </w:r>
      <w:r w:rsidR="00742814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</w:r>
      <w:r w:rsidR="00BB0FB3" w:rsidRPr="00C76DE2">
        <w:rPr>
          <w:sz w:val="20"/>
        </w:rPr>
        <w:t>Кроме того, целевой группой была отмечена важность укрепления сотрудничества на региональном и субрегиональном уровнях. Наконец, подчеркивая продуктивный и консультативный процесс</w:t>
      </w:r>
      <w:r w:rsidR="00B61ADF">
        <w:rPr>
          <w:sz w:val="20"/>
        </w:rPr>
        <w:t>ы</w:t>
      </w:r>
      <w:r w:rsidR="00BB0FB3" w:rsidRPr="00C76DE2">
        <w:rPr>
          <w:sz w:val="20"/>
        </w:rPr>
        <w:t>, предшествовавши</w:t>
      </w:r>
      <w:r w:rsidR="00B61ADF">
        <w:rPr>
          <w:sz w:val="20"/>
        </w:rPr>
        <w:t>е</w:t>
      </w:r>
      <w:r w:rsidR="00BB0FB3" w:rsidRPr="00C76DE2">
        <w:rPr>
          <w:sz w:val="20"/>
        </w:rPr>
        <w:t xml:space="preserve"> докладу целевой группы, и в интересах обеспечения учета и выполнения ее рекомендаций, целевой группой было рекомендовано, чтобы ЮНЕП поддерживался механизм постоянных консультаций между ЮНЕП и секретариатами конвенций, который будет иметь долгосрочный характер. С помощью этого консультативного механизма можно, в первоочередном порядке, проводить мониторинг осуществления согласованных рекомендаций, в том числе путем постоянной оценки способов повышения эффективности административных механизмов и программного сотрудничества.</w:t>
      </w:r>
    </w:p>
    <w:p w:rsidR="00BB0FB3" w:rsidRPr="00C76DE2" w:rsidRDefault="00BB0FB3" w:rsidP="00C76DE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C76DE2">
        <w:rPr>
          <w:b/>
          <w:sz w:val="28"/>
          <w:szCs w:val="28"/>
        </w:rPr>
        <w:tab/>
        <w:t>III.</w:t>
      </w:r>
      <w:r w:rsidRPr="00C76DE2">
        <w:rPr>
          <w:b/>
          <w:sz w:val="28"/>
          <w:szCs w:val="28"/>
        </w:rPr>
        <w:tab/>
        <w:t>Ход осуществления некоторых основных рекомендаций</w:t>
      </w:r>
    </w:p>
    <w:p w:rsidR="00D02EFF" w:rsidRPr="00005168" w:rsidRDefault="00D02EFF" w:rsidP="0000516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005168">
        <w:rPr>
          <w:b/>
          <w:sz w:val="24"/>
          <w:szCs w:val="24"/>
        </w:rPr>
        <w:tab/>
        <w:t>A.</w:t>
      </w:r>
      <w:r w:rsidRPr="00005168">
        <w:rPr>
          <w:b/>
          <w:sz w:val="24"/>
          <w:szCs w:val="24"/>
        </w:rPr>
        <w:tab/>
        <w:t>Общая координация</w:t>
      </w:r>
    </w:p>
    <w:p w:rsidR="00D02EFF" w:rsidRPr="00005168" w:rsidRDefault="00005168" w:rsidP="00005168">
      <w:pPr>
        <w:spacing w:after="120"/>
        <w:ind w:left="1247"/>
        <w:rPr>
          <w:sz w:val="20"/>
        </w:rPr>
      </w:pPr>
      <w:r w:rsidRPr="00005168">
        <w:rPr>
          <w:sz w:val="20"/>
        </w:rPr>
        <w:t>24.</w:t>
      </w:r>
      <w:r w:rsidRPr="00005168">
        <w:rPr>
          <w:sz w:val="20"/>
        </w:rPr>
        <w:tab/>
      </w:r>
      <w:r w:rsidR="00D02EFF" w:rsidRPr="00005168">
        <w:rPr>
          <w:sz w:val="20"/>
        </w:rPr>
        <w:t>Директор-исполнитель и руководители секретариатов конвенций договорились восстановить группу руководителей многосторонних природоохранных соглашений в качестве надлежащего механизма координации между ЮНЕП и секретариатами конвенций. Группе руководителей следует регулярно (ежеквартально) проводить совещания для обсуждения, среди других вопросов, стратегического сотрудничества и административных вопросов. Первое совещание группы состоялось в Вене 19 июня 2015 года, а второе, проше</w:t>
      </w:r>
      <w:r w:rsidRPr="00005168">
        <w:rPr>
          <w:sz w:val="20"/>
        </w:rPr>
        <w:t>дшее в режиме телеконференции</w:t>
      </w:r>
      <w:r w:rsidR="00B61ADF">
        <w:rPr>
          <w:sz w:val="20"/>
        </w:rPr>
        <w:t>,</w:t>
      </w:r>
      <w:r w:rsidRPr="00005168">
        <w:rPr>
          <w:sz w:val="20"/>
        </w:rPr>
        <w:t xml:space="preserve"> – 5 октября 2015 года.</w:t>
      </w:r>
    </w:p>
    <w:p w:rsidR="00D02EFF" w:rsidRPr="00005168" w:rsidRDefault="00005168" w:rsidP="00005168">
      <w:pPr>
        <w:spacing w:after="120"/>
        <w:ind w:left="1247"/>
        <w:rPr>
          <w:sz w:val="20"/>
        </w:rPr>
      </w:pPr>
      <w:r w:rsidRPr="00005168">
        <w:rPr>
          <w:sz w:val="20"/>
        </w:rPr>
        <w:t>25.</w:t>
      </w:r>
      <w:r w:rsidRPr="00005168">
        <w:rPr>
          <w:sz w:val="20"/>
        </w:rPr>
        <w:tab/>
      </w:r>
      <w:r w:rsidR="00D02EFF" w:rsidRPr="00005168">
        <w:rPr>
          <w:sz w:val="20"/>
        </w:rPr>
        <w:t>1 июля 2015 года Директор-исполнитель назначил двух основных координаторов по вопросам многосторонних природоохранных соглашений в рамках секретариата ЮНЕП: коорди</w:t>
      </w:r>
      <w:r w:rsidR="002B72F1">
        <w:rPr>
          <w:sz w:val="20"/>
        </w:rPr>
        <w:t>натора по вопросам поддержки и</w:t>
      </w:r>
      <w:r w:rsidR="00D02EFF" w:rsidRPr="00005168">
        <w:rPr>
          <w:sz w:val="20"/>
        </w:rPr>
        <w:t xml:space="preserve"> укрепления программного сотрудничества с многосторонними природоохранными соглашениями, прикрепленного к Отделу природоохранного права и конвенций; и координатора по вопросам операционной и административной поддержки секретариатов конвенций, прикрепленного к Управлению обеспечения деятельности. Эти два координатора будут поддерживать работу и совещания группы руководителей и обеспечивать консолидированный, надлежащий и своевременный вклад ЮНЕП в рамках подготов</w:t>
      </w:r>
      <w:r w:rsidR="00D3440E">
        <w:rPr>
          <w:sz w:val="20"/>
        </w:rPr>
        <w:t>ки к конференциям и совещаниям С</w:t>
      </w:r>
      <w:r w:rsidR="00D02EFF" w:rsidRPr="00005168">
        <w:rPr>
          <w:sz w:val="20"/>
        </w:rPr>
        <w:t>торон. Назначение координаторов по программным и административным вопросам является ответом на призыв к более рациональным процессам, что приведет к усилению подотчетности, ответственности и оперативности реагирования и позволит нам отслеживать ход работы и выявлять узкие места и проблемы.</w:t>
      </w:r>
    </w:p>
    <w:p w:rsidR="00D02EFF" w:rsidRPr="00005168" w:rsidRDefault="00005168" w:rsidP="00005168">
      <w:pPr>
        <w:spacing w:after="120"/>
        <w:ind w:left="1247"/>
        <w:rPr>
          <w:sz w:val="20"/>
        </w:rPr>
      </w:pPr>
      <w:r w:rsidRPr="00005168">
        <w:rPr>
          <w:sz w:val="20"/>
        </w:rPr>
        <w:t>26.</w:t>
      </w:r>
      <w:r w:rsidRPr="00005168">
        <w:rPr>
          <w:sz w:val="20"/>
        </w:rPr>
        <w:tab/>
      </w:r>
      <w:r w:rsidR="00D02EFF" w:rsidRPr="00005168">
        <w:rPr>
          <w:sz w:val="20"/>
        </w:rPr>
        <w:t xml:space="preserve">Работая в тесном сотрудничестве с секретариатами конвенций, ЮНЕП готовит своевременные доклады и материалы для дискуссий в рамках руководящих органов многосторонних природоохранных соглашений и принимает участие в этих дискуссиях. Это должно помочь укрепить механизмы проведения консультаций между ЮНЕП и многосторонними природоохранными соглашениями, например, региональных консультаций на уровне министров, эффективное использование информационных возможностей и раннее </w:t>
      </w:r>
      <w:r>
        <w:rPr>
          <w:sz w:val="20"/>
        </w:rPr>
        <w:t>выявление возникающих вопросов.</w:t>
      </w:r>
    </w:p>
    <w:p w:rsidR="00D02EFF" w:rsidRPr="00005168" w:rsidRDefault="00D02EFF" w:rsidP="0000516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005168">
        <w:rPr>
          <w:b/>
          <w:sz w:val="24"/>
          <w:szCs w:val="24"/>
        </w:rPr>
        <w:tab/>
        <w:t>B.</w:t>
      </w:r>
      <w:r w:rsidRPr="00005168">
        <w:rPr>
          <w:b/>
          <w:sz w:val="24"/>
          <w:szCs w:val="24"/>
        </w:rPr>
        <w:tab/>
        <w:t>Программа</w:t>
      </w:r>
    </w:p>
    <w:p w:rsidR="00D02EFF" w:rsidRPr="00005168" w:rsidRDefault="00005168" w:rsidP="00005168">
      <w:pPr>
        <w:spacing w:after="120"/>
        <w:ind w:left="1247"/>
        <w:rPr>
          <w:sz w:val="20"/>
        </w:rPr>
      </w:pPr>
      <w:r w:rsidRPr="00005168">
        <w:rPr>
          <w:sz w:val="20"/>
        </w:rPr>
        <w:t>27.</w:t>
      </w:r>
      <w:r w:rsidRPr="00005168">
        <w:rPr>
          <w:sz w:val="20"/>
        </w:rPr>
        <w:tab/>
      </w:r>
      <w:r w:rsidR="00D02EFF" w:rsidRPr="00005168">
        <w:rPr>
          <w:sz w:val="20"/>
        </w:rPr>
        <w:t xml:space="preserve">Соответствующими отделами ЮНЕП были проведены интенсивные консультации с секретариатами конвенций в процессе подготовки нового проекта среднесрочной стратегии ЮНЕП на 2018–2021 годы и связанной с ней программы работы на 2018-2021 годы в целях обеспечения учета программных приоритетов этих конвенций в рамках применяемых ЮНЕП программных процессов планирования. Эти приоритеты были включены в проект стратегии, а </w:t>
      </w:r>
      <w:r w:rsidRPr="00005168">
        <w:rPr>
          <w:sz w:val="20"/>
        </w:rPr>
        <w:t>также в отдельные подпрограммы.</w:t>
      </w:r>
    </w:p>
    <w:p w:rsidR="00D02EFF" w:rsidRPr="00005168" w:rsidRDefault="00005168" w:rsidP="00005168">
      <w:pPr>
        <w:spacing w:after="120"/>
        <w:ind w:left="1247"/>
        <w:rPr>
          <w:sz w:val="20"/>
        </w:rPr>
      </w:pPr>
      <w:r w:rsidRPr="00005168">
        <w:rPr>
          <w:sz w:val="20"/>
        </w:rPr>
        <w:t>28.</w:t>
      </w:r>
      <w:r w:rsidRPr="00005168">
        <w:rPr>
          <w:sz w:val="20"/>
        </w:rPr>
        <w:tab/>
      </w:r>
      <w:r w:rsidR="00D02EFF" w:rsidRPr="00005168">
        <w:rPr>
          <w:sz w:val="20"/>
        </w:rPr>
        <w:t xml:space="preserve">В 2015 году в целях укрепления поддержки ею программного сотрудничества с секретариатами конвенций на региональном </w:t>
      </w:r>
      <w:r w:rsidRPr="00005168">
        <w:rPr>
          <w:sz w:val="20"/>
        </w:rPr>
        <w:t>и субрегиональном уровн</w:t>
      </w:r>
      <w:r w:rsidR="00B61ADF">
        <w:rPr>
          <w:sz w:val="20"/>
        </w:rPr>
        <w:t>ях</w:t>
      </w:r>
      <w:r w:rsidRPr="00005168">
        <w:rPr>
          <w:sz w:val="20"/>
        </w:rPr>
        <w:t>, ЮНЕП б</w:t>
      </w:r>
      <w:r w:rsidR="00D02EFF" w:rsidRPr="00005168">
        <w:rPr>
          <w:sz w:val="20"/>
        </w:rPr>
        <w:t>ыли созданы новые субрегиональные отделения, которые в настоящее время полностью функционируют. Начиная с 1 января 2016 года будут создаваться должности координаторов региональных подпрограмм, большинство которых финансируется из регулярного бюджета Организации Объединенных Наций, для оказания поддержки достижению в регионах и странах целей соответствующих многосторонних природоохранных соглашений.</w:t>
      </w:r>
    </w:p>
    <w:p w:rsidR="00D02EFF" w:rsidRPr="00005168" w:rsidRDefault="00D02EFF" w:rsidP="00F8342E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005168">
        <w:rPr>
          <w:b/>
          <w:sz w:val="24"/>
          <w:szCs w:val="24"/>
        </w:rPr>
        <w:lastRenderedPageBreak/>
        <w:tab/>
        <w:t>С.</w:t>
      </w:r>
      <w:r w:rsidRPr="00005168">
        <w:rPr>
          <w:b/>
          <w:sz w:val="24"/>
          <w:szCs w:val="24"/>
        </w:rPr>
        <w:tab/>
        <w:t>Административная деятельность</w:t>
      </w:r>
    </w:p>
    <w:p w:rsidR="00D02EFF" w:rsidRPr="00F8342E" w:rsidRDefault="00005168" w:rsidP="00005168">
      <w:pPr>
        <w:spacing w:after="120"/>
        <w:ind w:left="1247"/>
        <w:rPr>
          <w:sz w:val="20"/>
        </w:rPr>
      </w:pPr>
      <w:r w:rsidRPr="00F8342E">
        <w:rPr>
          <w:sz w:val="20"/>
        </w:rPr>
        <w:t>29.</w:t>
      </w:r>
      <w:r w:rsidRPr="00F8342E">
        <w:rPr>
          <w:sz w:val="20"/>
        </w:rPr>
        <w:tab/>
      </w:r>
      <w:r w:rsidR="00D02EFF" w:rsidRPr="00F8342E">
        <w:rPr>
          <w:sz w:val="20"/>
        </w:rPr>
        <w:t xml:space="preserve">2 июня 2015 года в соответствии с резолюцией 60/283 Генеральной Ассамблеи и в целях согласования работы Организации Объединенных Наций и повышения транспарентности и подотчетности, Организация Объединенных Наций, включая ЮНЕП и секретариаты конвенций, начала работать в рамках операционной среды, внедренной на основе новой системы </w:t>
      </w:r>
      <w:r w:rsidR="00B61ADF">
        <w:rPr>
          <w:sz w:val="20"/>
        </w:rPr>
        <w:t xml:space="preserve">общеорганизационного </w:t>
      </w:r>
      <w:r w:rsidR="00D02EFF" w:rsidRPr="00F8342E">
        <w:rPr>
          <w:sz w:val="20"/>
        </w:rPr>
        <w:t xml:space="preserve">планирования ресурсов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>.</w:t>
      </w:r>
    </w:p>
    <w:p w:rsidR="00D02EFF" w:rsidRPr="00F8342E" w:rsidRDefault="00005168" w:rsidP="00005168">
      <w:pPr>
        <w:spacing w:after="120"/>
        <w:ind w:left="1247"/>
        <w:rPr>
          <w:sz w:val="20"/>
        </w:rPr>
      </w:pPr>
      <w:r w:rsidRPr="00F8342E">
        <w:rPr>
          <w:sz w:val="20"/>
        </w:rPr>
        <w:t>30.</w:t>
      </w:r>
      <w:r w:rsidRPr="00F8342E">
        <w:rPr>
          <w:sz w:val="20"/>
        </w:rPr>
        <w:tab/>
      </w:r>
      <w:r w:rsidR="00D02EFF" w:rsidRPr="00F8342E">
        <w:rPr>
          <w:sz w:val="20"/>
        </w:rPr>
        <w:t xml:space="preserve">После внедрения системы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 xml:space="preserve"> ЮНЕП возник ряд трудностей, в частности, у ее отделений вне центрального аппарата, включая секретариаты конвенций, прежде всего</w:t>
      </w:r>
      <w:r w:rsidRPr="00F8342E">
        <w:rPr>
          <w:sz w:val="20"/>
        </w:rPr>
        <w:t xml:space="preserve"> – </w:t>
      </w:r>
      <w:r w:rsidR="00D02EFF" w:rsidRPr="00F8342E">
        <w:rPr>
          <w:sz w:val="20"/>
        </w:rPr>
        <w:t xml:space="preserve">на операционном уровне. К этим трудностям относятся вопросы, связанные с рабочими процессами, касающимися поездок, платежей и доступа пользователей к данным в системе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 xml:space="preserve">. В частности, функция отчетности в системе оперативной деловой информации в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 xml:space="preserve"> не является полной, а пользователи ЮНЕП в настоящее время не имеют полного доступа к данным</w:t>
      </w:r>
      <w:r w:rsidRPr="00F8342E">
        <w:rPr>
          <w:sz w:val="20"/>
        </w:rPr>
        <w:t>, которые необходимы им для под</w:t>
      </w:r>
      <w:r w:rsidR="00D02EFF" w:rsidRPr="00F8342E">
        <w:rPr>
          <w:sz w:val="20"/>
        </w:rPr>
        <w:t xml:space="preserve">готовки различных отчетов для целей внутреннего процесса принятия решений и </w:t>
      </w:r>
      <w:r w:rsidRPr="00F8342E">
        <w:rPr>
          <w:sz w:val="20"/>
        </w:rPr>
        <w:t>взаимодействия с донорами ЮНЕП.</w:t>
      </w:r>
    </w:p>
    <w:p w:rsidR="00D02EFF" w:rsidRPr="00F8342E" w:rsidRDefault="00005168" w:rsidP="00005168">
      <w:pPr>
        <w:spacing w:after="240"/>
        <w:ind w:left="1247"/>
        <w:rPr>
          <w:sz w:val="20"/>
        </w:rPr>
      </w:pPr>
      <w:r w:rsidRPr="00F8342E">
        <w:rPr>
          <w:sz w:val="20"/>
        </w:rPr>
        <w:t>31.</w:t>
      </w:r>
      <w:r w:rsidRPr="00F8342E">
        <w:rPr>
          <w:sz w:val="20"/>
        </w:rPr>
        <w:tab/>
      </w:r>
      <w:r w:rsidR="00D02EFF" w:rsidRPr="00F8342E">
        <w:rPr>
          <w:sz w:val="20"/>
        </w:rPr>
        <w:t xml:space="preserve">Также возникли проблемы с финансовым функционалом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 xml:space="preserve">, и это, вероятно, приведет к задержкам в подготовке финансовых ведомостей Организации до июня 2016 года. ЮНЕП предполагает задержку подготовки своей финансовой отчетности примерно на два месяца. ЮНЕП работает совместно с Секретариатом Организации Объединенных Наций в целях выявления основной причины этих проблем и принимает оперативные меры для их устранения. ЮНЕП уверена в том, что после стабилизации системы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 xml:space="preserve"> предоставит донорам дополнител</w:t>
      </w:r>
      <w:r w:rsidRPr="00F8342E">
        <w:rPr>
          <w:sz w:val="20"/>
        </w:rPr>
        <w:t>ь</w:t>
      </w:r>
      <w:r w:rsidR="00D02EFF" w:rsidRPr="00F8342E">
        <w:rPr>
          <w:sz w:val="20"/>
        </w:rPr>
        <w:t>ные сведения о деятельности ЮНЕП, обеспечит рационализацию процессов и повысит рентабельность и качество предоставляемых услуг.</w:t>
      </w:r>
    </w:p>
    <w:p w:rsidR="00D02EFF" w:rsidRPr="00005168" w:rsidRDefault="00D02EFF" w:rsidP="00005168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005168">
        <w:rPr>
          <w:b/>
          <w:sz w:val="28"/>
          <w:szCs w:val="28"/>
        </w:rPr>
        <w:tab/>
        <w:t>IV.</w:t>
      </w:r>
      <w:r w:rsidRPr="00005168">
        <w:rPr>
          <w:b/>
          <w:sz w:val="28"/>
          <w:szCs w:val="28"/>
        </w:rPr>
        <w:tab/>
        <w:t>Анализ и рекомендации ЮНЕП</w:t>
      </w:r>
    </w:p>
    <w:p w:rsidR="00D02EFF" w:rsidRPr="00005168" w:rsidRDefault="00D02EFF" w:rsidP="0000516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005168">
        <w:rPr>
          <w:b/>
          <w:sz w:val="24"/>
          <w:szCs w:val="24"/>
        </w:rPr>
        <w:tab/>
        <w:t>A.</w:t>
      </w:r>
      <w:r w:rsidRPr="00005168">
        <w:rPr>
          <w:b/>
          <w:sz w:val="24"/>
          <w:szCs w:val="24"/>
        </w:rPr>
        <w:tab/>
        <w:t>Институциональные рамки и подотчетность</w:t>
      </w:r>
    </w:p>
    <w:p w:rsidR="00D02EFF" w:rsidRPr="00F8342E" w:rsidRDefault="00D02EFF" w:rsidP="00005168">
      <w:pPr>
        <w:tabs>
          <w:tab w:val="right" w:pos="851"/>
        </w:tabs>
        <w:spacing w:after="120"/>
        <w:ind w:left="1247" w:right="284" w:hanging="1247"/>
        <w:rPr>
          <w:b/>
          <w:sz w:val="20"/>
        </w:rPr>
      </w:pPr>
      <w:r w:rsidRPr="00F8342E">
        <w:rPr>
          <w:b/>
          <w:sz w:val="20"/>
        </w:rPr>
        <w:tab/>
        <w:t>1.</w:t>
      </w:r>
      <w:r w:rsidRPr="00F8342E">
        <w:rPr>
          <w:b/>
          <w:sz w:val="20"/>
        </w:rPr>
        <w:tab/>
        <w:t>Анализ</w:t>
      </w:r>
    </w:p>
    <w:p w:rsidR="00D02EFF" w:rsidRPr="00F8342E" w:rsidRDefault="00F8342E" w:rsidP="00005168">
      <w:pPr>
        <w:spacing w:after="120"/>
        <w:ind w:left="1247"/>
        <w:rPr>
          <w:sz w:val="20"/>
        </w:rPr>
      </w:pPr>
      <w:r>
        <w:rPr>
          <w:sz w:val="20"/>
        </w:rPr>
        <w:t>32.</w:t>
      </w:r>
      <w:r>
        <w:rPr>
          <w:sz w:val="20"/>
        </w:rPr>
        <w:tab/>
      </w:r>
      <w:r w:rsidR="00D02EFF" w:rsidRPr="00F8342E">
        <w:rPr>
          <w:sz w:val="20"/>
        </w:rPr>
        <w:t>Функции секретариатов конвенций определяются соответствующими положениями конвенций и</w:t>
      </w:r>
      <w:r w:rsidR="00D3440E">
        <w:rPr>
          <w:sz w:val="20"/>
        </w:rPr>
        <w:t xml:space="preserve"> дополнительно определяются их С</w:t>
      </w:r>
      <w:r w:rsidR="00D02EFF" w:rsidRPr="00F8342E">
        <w:rPr>
          <w:sz w:val="20"/>
        </w:rPr>
        <w:t>торонами п</w:t>
      </w:r>
      <w:r w:rsidR="00D3440E">
        <w:rPr>
          <w:sz w:val="20"/>
        </w:rPr>
        <w:t>осредством решений конференций С</w:t>
      </w:r>
      <w:r w:rsidR="00D02EFF" w:rsidRPr="00F8342E">
        <w:rPr>
          <w:sz w:val="20"/>
        </w:rPr>
        <w:t>торон или других руководящих органов конвенций. Многосторонние природоохранные соглашения являются независимыми международными юридическими лицами и не являются вспомогательными органами какого-либо органа Организации Объединенных Наций. Каждое соглашение или конвенция действует полн</w:t>
      </w:r>
      <w:r w:rsidR="00390690">
        <w:rPr>
          <w:sz w:val="20"/>
        </w:rPr>
        <w:t>остью самостоятельно и регулируе</w:t>
      </w:r>
      <w:r w:rsidR="00D02EFF" w:rsidRPr="00F8342E">
        <w:rPr>
          <w:sz w:val="20"/>
        </w:rPr>
        <w:t>тся их</w:t>
      </w:r>
      <w:r w:rsidR="00390690">
        <w:rPr>
          <w:sz w:val="20"/>
        </w:rPr>
        <w:t xml:space="preserve"> собственными положениями и их С</w:t>
      </w:r>
      <w:r w:rsidR="00D02EFF" w:rsidRPr="00F8342E">
        <w:rPr>
          <w:sz w:val="20"/>
        </w:rPr>
        <w:t>торонами через их соо</w:t>
      </w:r>
      <w:r w:rsidR="00005168" w:rsidRPr="00F8342E">
        <w:rPr>
          <w:sz w:val="20"/>
        </w:rPr>
        <w:t>тветствующий руководящий орган.</w:t>
      </w:r>
    </w:p>
    <w:p w:rsidR="00D02EFF" w:rsidRPr="00F8342E" w:rsidRDefault="00F8342E" w:rsidP="00005168">
      <w:pPr>
        <w:spacing w:after="120"/>
        <w:ind w:left="1247"/>
        <w:rPr>
          <w:sz w:val="20"/>
        </w:rPr>
      </w:pPr>
      <w:r>
        <w:rPr>
          <w:sz w:val="20"/>
        </w:rPr>
        <w:t>33.</w:t>
      </w:r>
      <w:r>
        <w:rPr>
          <w:sz w:val="20"/>
        </w:rPr>
        <w:tab/>
      </w:r>
      <w:r w:rsidR="00D02EFF" w:rsidRPr="00F8342E">
        <w:rPr>
          <w:sz w:val="20"/>
        </w:rPr>
        <w:t>Структура секретариатов конвенций, как правило, определяется бюджетами, утверждаемыми их руководящими органами. Средства для осуществления деятельности конвенций, включая финансовые ресурсы для функционирования их секретариатов, должны предо</w:t>
      </w:r>
      <w:r w:rsidR="00D3440E">
        <w:rPr>
          <w:sz w:val="20"/>
        </w:rPr>
        <w:t>ставляться С</w:t>
      </w:r>
      <w:r w:rsidR="00005168" w:rsidRPr="00F8342E">
        <w:rPr>
          <w:sz w:val="20"/>
        </w:rPr>
        <w:t>торонами конвенций.</w:t>
      </w:r>
    </w:p>
    <w:p w:rsidR="00D02EFF" w:rsidRPr="00F8342E" w:rsidRDefault="00F8342E" w:rsidP="00005168">
      <w:pPr>
        <w:spacing w:after="120"/>
        <w:ind w:left="1247"/>
        <w:rPr>
          <w:sz w:val="20"/>
        </w:rPr>
      </w:pPr>
      <w:r>
        <w:rPr>
          <w:sz w:val="20"/>
        </w:rPr>
        <w:t>34.</w:t>
      </w:r>
      <w:r>
        <w:rPr>
          <w:sz w:val="20"/>
        </w:rPr>
        <w:tab/>
      </w:r>
      <w:r w:rsidR="00D02EFF" w:rsidRPr="00F8342E">
        <w:rPr>
          <w:sz w:val="20"/>
        </w:rPr>
        <w:t>Рядом конвенций предусмотрены конкретные положения с просьб</w:t>
      </w:r>
      <w:r w:rsidRPr="00F8342E">
        <w:rPr>
          <w:sz w:val="20"/>
        </w:rPr>
        <w:t>ой к Директору</w:t>
      </w:r>
      <w:r>
        <w:rPr>
          <w:sz w:val="20"/>
        </w:rPr>
        <w:noBreakHyphen/>
      </w:r>
      <w:r w:rsidR="00D02EFF" w:rsidRPr="00F8342E">
        <w:rPr>
          <w:sz w:val="20"/>
        </w:rPr>
        <w:t>исполнител</w:t>
      </w:r>
      <w:r w:rsidR="008501E4">
        <w:rPr>
          <w:sz w:val="20"/>
        </w:rPr>
        <w:t>ю</w:t>
      </w:r>
      <w:r w:rsidR="00D02EFF" w:rsidRPr="00F8342E">
        <w:rPr>
          <w:sz w:val="20"/>
        </w:rPr>
        <w:t xml:space="preserve"> ЮНЕП обеспечить секретариат для конвенции или выполнять функции секретариата; в других случаях их конфер</w:t>
      </w:r>
      <w:r w:rsidR="00D3440E">
        <w:rPr>
          <w:sz w:val="20"/>
        </w:rPr>
        <w:t>енциями С</w:t>
      </w:r>
      <w:r w:rsidR="00D02EFF" w:rsidRPr="00F8342E">
        <w:rPr>
          <w:sz w:val="20"/>
        </w:rPr>
        <w:t xml:space="preserve">торон, согласно профильным положениям соответствующих конвенций, было принято решение выбрать ЮНЕП в качестве субъекта, выполняющего функции секретариата. Руководящий орган ЮНЕП согласился с этим подходом и уполномочил Директора-исполнителя выполнять запрашиваемые функции секретариата; по этой причине они могут </w:t>
      </w:r>
      <w:r w:rsidR="008501E4">
        <w:rPr>
          <w:sz w:val="20"/>
        </w:rPr>
        <w:t>считаться</w:t>
      </w:r>
      <w:r w:rsidR="00D02EFF" w:rsidRPr="00F8342E">
        <w:rPr>
          <w:sz w:val="20"/>
        </w:rPr>
        <w:t xml:space="preserve"> результатом согласования между многосторонними природоохранными соглашениями и их </w:t>
      </w:r>
      <w:r w:rsidR="00D3440E">
        <w:rPr>
          <w:sz w:val="20"/>
        </w:rPr>
        <w:t>соответствующими конференциями С</w:t>
      </w:r>
      <w:r w:rsidR="00D02EFF" w:rsidRPr="00F8342E">
        <w:rPr>
          <w:sz w:val="20"/>
        </w:rPr>
        <w:t>торон, с одной стороны, и руководящего</w:t>
      </w:r>
      <w:r w:rsidR="00005168" w:rsidRPr="00F8342E">
        <w:rPr>
          <w:sz w:val="20"/>
        </w:rPr>
        <w:t xml:space="preserve"> органа ЮНЕП, с другой стороны.</w:t>
      </w:r>
    </w:p>
    <w:p w:rsidR="00D02EFF" w:rsidRPr="00F8342E" w:rsidRDefault="00F8342E" w:rsidP="00005168">
      <w:pPr>
        <w:spacing w:after="120"/>
        <w:ind w:left="1247"/>
        <w:rPr>
          <w:sz w:val="20"/>
        </w:rPr>
      </w:pPr>
      <w:r>
        <w:rPr>
          <w:sz w:val="20"/>
        </w:rPr>
        <w:t>35.</w:t>
      </w:r>
      <w:r>
        <w:rPr>
          <w:sz w:val="20"/>
        </w:rPr>
        <w:tab/>
      </w:r>
      <w:r w:rsidR="00D02EFF" w:rsidRPr="00F8342E">
        <w:rPr>
          <w:sz w:val="20"/>
        </w:rPr>
        <w:t>В каждом соглашении определяются функции е</w:t>
      </w:r>
      <w:r w:rsidR="008501E4">
        <w:rPr>
          <w:sz w:val="20"/>
        </w:rPr>
        <w:t>го</w:t>
      </w:r>
      <w:r w:rsidR="00D02EFF" w:rsidRPr="00F8342E">
        <w:rPr>
          <w:sz w:val="20"/>
        </w:rPr>
        <w:t xml:space="preserve"> секретариата, а е</w:t>
      </w:r>
      <w:r w:rsidR="008501E4">
        <w:rPr>
          <w:sz w:val="20"/>
        </w:rPr>
        <w:t>го</w:t>
      </w:r>
      <w:r w:rsidR="00D02EFF" w:rsidRPr="00F8342E">
        <w:rPr>
          <w:sz w:val="20"/>
        </w:rPr>
        <w:t xml:space="preserve"> руководящим о</w:t>
      </w:r>
      <w:r w:rsidR="00D3440E">
        <w:rPr>
          <w:sz w:val="20"/>
        </w:rPr>
        <w:t>рганом (например, конференцией С</w:t>
      </w:r>
      <w:r w:rsidR="00D02EFF" w:rsidRPr="00F8342E">
        <w:rPr>
          <w:sz w:val="20"/>
        </w:rPr>
        <w:t>торон) через бюджет определяется структура секретариата; при этом Директор-исполнитель в конечном счете подотчетен руководящим органам соответствующего соглашения в вопросах обеспечен</w:t>
      </w:r>
      <w:r w:rsidR="008501E4">
        <w:rPr>
          <w:sz w:val="20"/>
        </w:rPr>
        <w:t>ия эффективного функционирования</w:t>
      </w:r>
      <w:r w:rsidR="00D02EFF" w:rsidRPr="00F8342E">
        <w:rPr>
          <w:sz w:val="20"/>
        </w:rPr>
        <w:t xml:space="preserve"> его секретариата и отвечает за принятие необходимых мер для деятельности секретариата или выполнения функций секретариата в рамках институциональной структуры секретариата ЮНЕП. Для этой цели секретариаты были сформированы Директором-исполнителем в виде выделенных структур, каждая из которых имеет функциональную автономию в рамках программы работы и бюджета, утвержденных руководящими органами соответствующей конвенции, следует правилам и положениям ЮНЕП и подотчет</w:t>
      </w:r>
      <w:r w:rsidR="008501E4">
        <w:rPr>
          <w:sz w:val="20"/>
        </w:rPr>
        <w:t>на</w:t>
      </w:r>
      <w:r w:rsidR="00D02EFF" w:rsidRPr="00F8342E">
        <w:rPr>
          <w:sz w:val="20"/>
        </w:rPr>
        <w:t xml:space="preserve"> Директору-исполнителю ЮНЕП по вопросам своей деятельности и соблюдения административных и финансовых </w:t>
      </w:r>
      <w:r w:rsidR="00D02EFF" w:rsidRPr="00F8342E">
        <w:rPr>
          <w:sz w:val="20"/>
        </w:rPr>
        <w:lastRenderedPageBreak/>
        <w:t xml:space="preserve">требований, </w:t>
      </w:r>
      <w:r w:rsidR="008501E4">
        <w:rPr>
          <w:sz w:val="20"/>
        </w:rPr>
        <w:t>при этом оставаясь подотчетной</w:t>
      </w:r>
      <w:r w:rsidR="004B4143">
        <w:rPr>
          <w:sz w:val="20"/>
        </w:rPr>
        <w:t xml:space="preserve"> С</w:t>
      </w:r>
      <w:r w:rsidR="00D02EFF" w:rsidRPr="00F8342E">
        <w:rPr>
          <w:sz w:val="20"/>
        </w:rPr>
        <w:t>торонам конвенций и их руководящим органам по вопросам осуществления программ.</w:t>
      </w:r>
    </w:p>
    <w:p w:rsidR="00D02EFF" w:rsidRPr="00F8342E" w:rsidRDefault="00F8342E" w:rsidP="00005168">
      <w:pPr>
        <w:spacing w:after="120"/>
        <w:ind w:left="1247"/>
        <w:rPr>
          <w:sz w:val="20"/>
        </w:rPr>
      </w:pPr>
      <w:r>
        <w:rPr>
          <w:sz w:val="20"/>
        </w:rPr>
        <w:t>36.</w:t>
      </w:r>
      <w:r>
        <w:rPr>
          <w:sz w:val="20"/>
        </w:rPr>
        <w:tab/>
      </w:r>
      <w:r w:rsidR="00D02EFF" w:rsidRPr="00F8342E">
        <w:rPr>
          <w:sz w:val="20"/>
        </w:rPr>
        <w:t>Старшее должностное лицо и сотрудники каждого секретариата являются сотрудниками ЮНЕП, которые подотчетны Директору-исполнителю в вопросах выполнении своих обязанностей международных гражданских служащих Организации Объединенных Наций, назначенных в рамках секретариата ЮНЕП. Функции, класс и численность этих сотрудников определяются в соответствии со структурой секретариата конвенции, как установлено соответствующим руководящим органом в утвержденном бюджете. Назначение сотрудников регулируется соответствующими положениями и правилами Организации Объединенных Н</w:t>
      </w:r>
      <w:r w:rsidR="00531350" w:rsidRPr="00F8342E">
        <w:rPr>
          <w:sz w:val="20"/>
        </w:rPr>
        <w:t>аций, которые применимы к ЮНЕП.</w:t>
      </w:r>
    </w:p>
    <w:p w:rsidR="00531350" w:rsidRPr="00F8342E" w:rsidRDefault="00F8342E" w:rsidP="00005168">
      <w:pPr>
        <w:spacing w:after="120"/>
        <w:ind w:left="1247"/>
        <w:rPr>
          <w:sz w:val="20"/>
        </w:rPr>
      </w:pPr>
      <w:r>
        <w:rPr>
          <w:sz w:val="20"/>
        </w:rPr>
        <w:t>37.</w:t>
      </w:r>
      <w:r>
        <w:rPr>
          <w:sz w:val="20"/>
        </w:rPr>
        <w:tab/>
      </w:r>
      <w:r w:rsidR="00D02EFF" w:rsidRPr="00F8342E">
        <w:rPr>
          <w:sz w:val="20"/>
        </w:rPr>
        <w:t>В рамках Организации Объединенных Н</w:t>
      </w:r>
      <w:r w:rsidR="008501E4">
        <w:rPr>
          <w:sz w:val="20"/>
        </w:rPr>
        <w:t>аций отношения между Директором</w:t>
      </w:r>
      <w:r w:rsidR="008501E4">
        <w:rPr>
          <w:sz w:val="20"/>
        </w:rPr>
        <w:noBreakHyphen/>
      </w:r>
      <w:r w:rsidR="00D02EFF" w:rsidRPr="00F8342E">
        <w:rPr>
          <w:sz w:val="20"/>
        </w:rPr>
        <w:t>исполнителем и руководителями секретариатов соответствующих многосторонних природоохранных соглашений определяются Генеральны</w:t>
      </w:r>
      <w:r w:rsidR="00531350" w:rsidRPr="00F8342E">
        <w:rPr>
          <w:sz w:val="20"/>
        </w:rPr>
        <w:t>м секретарем следующим образом:</w:t>
      </w:r>
    </w:p>
    <w:p w:rsidR="00D02EFF" w:rsidRPr="00F8342E" w:rsidRDefault="00F8342E" w:rsidP="00F8342E">
      <w:pPr>
        <w:spacing w:after="120"/>
        <w:ind w:left="1871" w:firstLine="624"/>
        <w:rPr>
          <w:sz w:val="20"/>
        </w:rPr>
      </w:pPr>
      <w:r>
        <w:rPr>
          <w:sz w:val="20"/>
        </w:rPr>
        <w:t>«</w:t>
      </w:r>
      <w:r w:rsidR="00D02EFF" w:rsidRPr="00F8342E">
        <w:rPr>
          <w:sz w:val="20"/>
        </w:rPr>
        <w:t>Секретариаты конвенций подотчетны и</w:t>
      </w:r>
      <w:r w:rsidR="004B4143">
        <w:rPr>
          <w:sz w:val="20"/>
        </w:rPr>
        <w:t>х соответствующим конференциям С</w:t>
      </w:r>
      <w:r w:rsidR="00D02EFF" w:rsidRPr="00F8342E">
        <w:rPr>
          <w:sz w:val="20"/>
        </w:rPr>
        <w:t>торон в вопросах осуществления программы, а старшие должностные лица тех конвенций, которые администрируются ЮНЕП (могут называться по-разному</w:t>
      </w:r>
      <w:r w:rsidR="00005168" w:rsidRPr="00F8342E">
        <w:rPr>
          <w:sz w:val="20"/>
        </w:rPr>
        <w:t xml:space="preserve"> – «</w:t>
      </w:r>
      <w:r w:rsidR="00D02EFF" w:rsidRPr="00F8342E">
        <w:rPr>
          <w:sz w:val="20"/>
        </w:rPr>
        <w:t>исполнительный секретарь</w:t>
      </w:r>
      <w:r w:rsidR="00005168" w:rsidRPr="00F8342E">
        <w:rPr>
          <w:sz w:val="20"/>
        </w:rPr>
        <w:t>», «</w:t>
      </w:r>
      <w:r w:rsidR="00D02EFF" w:rsidRPr="00F8342E">
        <w:rPr>
          <w:sz w:val="20"/>
        </w:rPr>
        <w:t>генеральный секретарь</w:t>
      </w:r>
      <w:r w:rsidR="00005168" w:rsidRPr="00F8342E">
        <w:rPr>
          <w:sz w:val="20"/>
        </w:rPr>
        <w:t>», «</w:t>
      </w:r>
      <w:r w:rsidR="00D02EFF" w:rsidRPr="00F8342E">
        <w:rPr>
          <w:sz w:val="20"/>
        </w:rPr>
        <w:t>руководитель</w:t>
      </w:r>
      <w:r w:rsidR="00005168" w:rsidRPr="00F8342E">
        <w:rPr>
          <w:sz w:val="20"/>
        </w:rPr>
        <w:t>»</w:t>
      </w:r>
      <w:r w:rsidR="00D02EFF" w:rsidRPr="00F8342E">
        <w:rPr>
          <w:sz w:val="20"/>
        </w:rPr>
        <w:t xml:space="preserve"> или </w:t>
      </w:r>
      <w:r w:rsidR="00005168" w:rsidRPr="00F8342E">
        <w:rPr>
          <w:sz w:val="20"/>
        </w:rPr>
        <w:t>«</w:t>
      </w:r>
      <w:r w:rsidR="00D02EFF" w:rsidRPr="00F8342E">
        <w:rPr>
          <w:sz w:val="20"/>
        </w:rPr>
        <w:t>координатор</w:t>
      </w:r>
      <w:r w:rsidR="00005168" w:rsidRPr="00F8342E">
        <w:rPr>
          <w:sz w:val="20"/>
        </w:rPr>
        <w:t>»</w:t>
      </w:r>
      <w:r w:rsidR="00D02EFF" w:rsidRPr="00F8342E">
        <w:rPr>
          <w:sz w:val="20"/>
        </w:rPr>
        <w:t>), подотчетны Директору-исполнителю. Они действуют достаточно самостоятельно для выполнения функций, кото</w:t>
      </w:r>
      <w:r w:rsidR="008501E4">
        <w:rPr>
          <w:sz w:val="20"/>
        </w:rPr>
        <w:t>рые были возложены на Директора</w:t>
      </w:r>
      <w:r w:rsidR="008501E4">
        <w:rPr>
          <w:sz w:val="20"/>
        </w:rPr>
        <w:noBreakHyphen/>
      </w:r>
      <w:r w:rsidR="00D02EFF" w:rsidRPr="00F8342E">
        <w:rPr>
          <w:sz w:val="20"/>
        </w:rPr>
        <w:t>исполнителя различными независимыми межпр</w:t>
      </w:r>
      <w:r w:rsidR="004B4143">
        <w:rPr>
          <w:sz w:val="20"/>
        </w:rPr>
        <w:t>авительственными конференциями С</w:t>
      </w:r>
      <w:r w:rsidR="00D02EFF" w:rsidRPr="00F8342E">
        <w:rPr>
          <w:sz w:val="20"/>
        </w:rPr>
        <w:t>торон конвенций</w:t>
      </w:r>
      <w:r w:rsidR="00D02EFF" w:rsidRPr="00F8342E">
        <w:rPr>
          <w:sz w:val="20"/>
          <w:vertAlign w:val="superscript"/>
        </w:rPr>
        <w:footnoteReference w:id="1"/>
      </w:r>
      <w:r>
        <w:rPr>
          <w:sz w:val="20"/>
        </w:rPr>
        <w:t>»</w:t>
      </w:r>
      <w:r w:rsidR="00531350" w:rsidRPr="00F8342E">
        <w:rPr>
          <w:sz w:val="20"/>
        </w:rPr>
        <w:t>.</w:t>
      </w:r>
    </w:p>
    <w:p w:rsidR="00D02EFF" w:rsidRPr="00F8342E" w:rsidRDefault="00D02EFF" w:rsidP="00F8342E">
      <w:pPr>
        <w:tabs>
          <w:tab w:val="right" w:pos="851"/>
        </w:tabs>
        <w:spacing w:after="120"/>
        <w:ind w:left="1247" w:right="284" w:hanging="1247"/>
        <w:rPr>
          <w:b/>
          <w:sz w:val="20"/>
        </w:rPr>
      </w:pPr>
      <w:r w:rsidRPr="00F8342E">
        <w:rPr>
          <w:b/>
          <w:sz w:val="20"/>
        </w:rPr>
        <w:tab/>
        <w:t>2.</w:t>
      </w:r>
      <w:r w:rsidRPr="00F8342E">
        <w:rPr>
          <w:b/>
          <w:sz w:val="20"/>
        </w:rPr>
        <w:tab/>
        <w:t>Рекомендации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38.</w:t>
      </w:r>
      <w:r>
        <w:rPr>
          <w:sz w:val="20"/>
        </w:rPr>
        <w:tab/>
      </w:r>
      <w:r w:rsidR="00D02EFF" w:rsidRPr="00F8342E">
        <w:rPr>
          <w:sz w:val="20"/>
        </w:rPr>
        <w:t>В целом, поскольку ЮНЕП является неотъемлемой частью Секретариата Организации Объединенных Наций</w:t>
      </w:r>
      <w:r w:rsidR="00D02EFF" w:rsidRPr="00F8342E">
        <w:rPr>
          <w:sz w:val="20"/>
          <w:vertAlign w:val="superscript"/>
        </w:rPr>
        <w:footnoteReference w:id="2"/>
      </w:r>
      <w:r w:rsidR="00D02EFF" w:rsidRPr="00F8342E">
        <w:rPr>
          <w:sz w:val="20"/>
        </w:rPr>
        <w:t>, любые институциональные механизмы обеспечения Дир</w:t>
      </w:r>
      <w:r w:rsidR="008501E4">
        <w:rPr>
          <w:sz w:val="20"/>
        </w:rPr>
        <w:t>ектором</w:t>
      </w:r>
      <w:r w:rsidR="008501E4">
        <w:rPr>
          <w:sz w:val="20"/>
        </w:rPr>
        <w:noBreakHyphen/>
      </w:r>
      <w:r w:rsidR="00D02EFF" w:rsidRPr="00F8342E">
        <w:rPr>
          <w:sz w:val="20"/>
        </w:rPr>
        <w:t>исполнителем секретариата или функций секретариата для соответствующих многосторонних природоохранных соглашений должны соответствовать принципам, правилам и процедурам Организации Объединенных Наций и ими должны соблюдаться административные и финансовые положения и правила Организации Объединенных Нац</w:t>
      </w:r>
      <w:r w:rsidR="00531350" w:rsidRPr="00F8342E">
        <w:rPr>
          <w:sz w:val="20"/>
        </w:rPr>
        <w:t>ий, которые применяются к ЮНЕП.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39.</w:t>
      </w:r>
      <w:r>
        <w:rPr>
          <w:sz w:val="20"/>
        </w:rPr>
        <w:tab/>
      </w:r>
      <w:r w:rsidR="00D02EFF" w:rsidRPr="00F8342E">
        <w:rPr>
          <w:sz w:val="20"/>
        </w:rPr>
        <w:t>Являясь учреждением, выбранным для обеспечения секретариатов конвенций, ЮНЕП оказывается во все более двусмысленном положении с точки зрения определения соответствующих ролей и обязанностей Директора-исполнителя и руководителя секретариат</w:t>
      </w:r>
      <w:r w:rsidR="00195739">
        <w:rPr>
          <w:sz w:val="20"/>
        </w:rPr>
        <w:t>а</w:t>
      </w:r>
      <w:r w:rsidR="00D02EFF" w:rsidRPr="00F8342E">
        <w:rPr>
          <w:sz w:val="20"/>
        </w:rPr>
        <w:t xml:space="preserve"> </w:t>
      </w:r>
      <w:r w:rsidR="00195739">
        <w:rPr>
          <w:sz w:val="20"/>
        </w:rPr>
        <w:t xml:space="preserve">конкретной </w:t>
      </w:r>
      <w:r w:rsidR="00D02EFF" w:rsidRPr="00F8342E">
        <w:rPr>
          <w:sz w:val="20"/>
        </w:rPr>
        <w:t>конвенций в процессе обеспечения услуг и функций секретариата. При обеспечении секретариата или выполнени</w:t>
      </w:r>
      <w:r w:rsidR="008501E4">
        <w:rPr>
          <w:sz w:val="20"/>
        </w:rPr>
        <w:t>и</w:t>
      </w:r>
      <w:r w:rsidR="00D02EFF" w:rsidRPr="00F8342E">
        <w:rPr>
          <w:sz w:val="20"/>
        </w:rPr>
        <w:t xml:space="preserve"> функций секретариата для многосторонних природоохранных соглашений обязанность и ответственность ЮНЕП состоит в служении более широким стратегическим и программным интересам конвенций, а не в том</w:t>
      </w:r>
      <w:r w:rsidR="008501E4">
        <w:rPr>
          <w:sz w:val="20"/>
        </w:rPr>
        <w:t>,</w:t>
      </w:r>
      <w:r w:rsidR="00D02EFF" w:rsidRPr="00F8342E">
        <w:rPr>
          <w:sz w:val="20"/>
        </w:rPr>
        <w:t xml:space="preserve"> чтобы уделять все больше внимания ограниченным и непредвиденным административным проблемам, которые могут периодически возникать в контексте конкретных многосторонних природоохранных соглашений</w:t>
      </w:r>
      <w:r w:rsidR="00195739">
        <w:rPr>
          <w:sz w:val="20"/>
        </w:rPr>
        <w:t>. К</w:t>
      </w:r>
      <w:r w:rsidR="00D02EFF" w:rsidRPr="00F8342E">
        <w:rPr>
          <w:sz w:val="20"/>
        </w:rPr>
        <w:t>акие-либо рекомендации относительно учреждений, выступающих принимающей стороной, не должны основываться на умозрительном противопос</w:t>
      </w:r>
      <w:r w:rsidR="00005168" w:rsidRPr="00F8342E">
        <w:rPr>
          <w:sz w:val="20"/>
        </w:rPr>
        <w:t>тавлении кураторской обязанност</w:t>
      </w:r>
      <w:r w:rsidR="00D02EFF" w:rsidRPr="00F8342E">
        <w:rPr>
          <w:sz w:val="20"/>
        </w:rPr>
        <w:t>и ЮНЕП обеспечивать секретариат и способности Программы сосредоточиться на вопросах более программного и стратегического характера, а</w:t>
      </w:r>
      <w:r w:rsidR="00390690">
        <w:rPr>
          <w:sz w:val="20"/>
        </w:rPr>
        <w:t>,</w:t>
      </w:r>
      <w:r w:rsidR="00D02EFF" w:rsidRPr="00F8342E">
        <w:rPr>
          <w:sz w:val="20"/>
        </w:rPr>
        <w:t xml:space="preserve"> напротив, для них может оказаться благотворным, если будут предприниматься усилия, направленные на то, чтобы решения для возможных управленческих или административных проблем являлись частью единого</w:t>
      </w:r>
      <w:r w:rsidR="00195739">
        <w:rPr>
          <w:sz w:val="20"/>
        </w:rPr>
        <w:t xml:space="preserve"> </w:t>
      </w:r>
      <w:r w:rsidR="00D02EFF" w:rsidRPr="00F8342E">
        <w:rPr>
          <w:sz w:val="20"/>
        </w:rPr>
        <w:t xml:space="preserve">комплекса услуг, оказываемого </w:t>
      </w:r>
      <w:r w:rsidR="00195739">
        <w:rPr>
          <w:sz w:val="20"/>
        </w:rPr>
        <w:t xml:space="preserve">этой </w:t>
      </w:r>
      <w:r w:rsidR="00D02EFF" w:rsidRPr="00F8342E">
        <w:rPr>
          <w:sz w:val="20"/>
        </w:rPr>
        <w:t>конвенции эфф</w:t>
      </w:r>
      <w:r w:rsidR="00531350" w:rsidRPr="00F8342E">
        <w:rPr>
          <w:sz w:val="20"/>
        </w:rPr>
        <w:t>ективным и действенным образом.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40.</w:t>
      </w:r>
      <w:r>
        <w:rPr>
          <w:sz w:val="20"/>
        </w:rPr>
        <w:tab/>
      </w:r>
      <w:r w:rsidR="00D02EFF" w:rsidRPr="00F8342E">
        <w:rPr>
          <w:sz w:val="20"/>
        </w:rPr>
        <w:t>Что касается роли и ответственности Директора-исполнителя в обеспечении секретариата или выполнении функций секретариата для многостороннего природоохранного соглашения, соответствующие институциональные механизмы, касающиеся секретариата конвенции, определяются путем согласования между руководящими органами многостороннего природоо</w:t>
      </w:r>
      <w:r w:rsidR="004B4143">
        <w:rPr>
          <w:sz w:val="20"/>
        </w:rPr>
        <w:t>хранного соглашения (а именно, С</w:t>
      </w:r>
      <w:r w:rsidR="00D02EFF" w:rsidRPr="00F8342E">
        <w:rPr>
          <w:sz w:val="20"/>
        </w:rPr>
        <w:t xml:space="preserve">торонами соглашения и его руководящим органом) и ЮНЕП (а именно, </w:t>
      </w:r>
      <w:r w:rsidR="008501E4">
        <w:rPr>
          <w:sz w:val="20"/>
        </w:rPr>
        <w:t>Д</w:t>
      </w:r>
      <w:r w:rsidR="00D02EFF" w:rsidRPr="00F8342E">
        <w:rPr>
          <w:sz w:val="20"/>
        </w:rPr>
        <w:t>иректором</w:t>
      </w:r>
      <w:r w:rsidR="008501E4">
        <w:rPr>
          <w:sz w:val="20"/>
        </w:rPr>
        <w:t>-и</w:t>
      </w:r>
      <w:r w:rsidR="008501E4" w:rsidRPr="00F8342E">
        <w:rPr>
          <w:sz w:val="20"/>
        </w:rPr>
        <w:t>сполнител</w:t>
      </w:r>
      <w:r w:rsidR="008501E4">
        <w:rPr>
          <w:sz w:val="20"/>
        </w:rPr>
        <w:t>ем</w:t>
      </w:r>
      <w:r w:rsidR="00D02EFF" w:rsidRPr="00F8342E">
        <w:rPr>
          <w:sz w:val="20"/>
        </w:rPr>
        <w:t xml:space="preserve">, которого уполномочивает руководящий орган ЮНЕП). Соответствующие роли и обязанности Директора-исполнителя и руководителя секретариата конвенции в обеспечении услуг и функций секретариата могут пониматься следующим образом: если Директор-исполнитель несет общую ответственность за обеспечение секретариата конвенции или функций </w:t>
      </w:r>
      <w:r w:rsidR="00D02EFF" w:rsidRPr="00F8342E">
        <w:rPr>
          <w:sz w:val="20"/>
        </w:rPr>
        <w:lastRenderedPageBreak/>
        <w:t>секретариата, то конкретные роль и обязанности руководителя секретариата конвенции могут определяться посредством конкретных догово</w:t>
      </w:r>
      <w:r w:rsidR="004B4143">
        <w:rPr>
          <w:sz w:val="20"/>
        </w:rPr>
        <w:t>ренностей, согласованных между С</w:t>
      </w:r>
      <w:r w:rsidR="00D02EFF" w:rsidRPr="00F8342E">
        <w:rPr>
          <w:sz w:val="20"/>
        </w:rPr>
        <w:t>торонами и их руководящими органами и Директором-исполнителем ЮНЕП.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41.</w:t>
      </w:r>
      <w:r>
        <w:rPr>
          <w:sz w:val="20"/>
        </w:rPr>
        <w:tab/>
      </w:r>
      <w:r w:rsidR="00D02EFF" w:rsidRPr="00F8342E">
        <w:rPr>
          <w:sz w:val="20"/>
        </w:rPr>
        <w:t xml:space="preserve">В этом контексте между ЮНЕП и конвенциями был заключен ряд меморандумов о взаимопонимании, а Директором-исполнителем были делегированы полномочия руководителям секретариатов конвенций с целью </w:t>
      </w:r>
      <w:r w:rsidR="00195739">
        <w:rPr>
          <w:sz w:val="20"/>
        </w:rPr>
        <w:t>пояснения</w:t>
      </w:r>
      <w:r w:rsidR="004B4143">
        <w:rPr>
          <w:sz w:val="20"/>
        </w:rPr>
        <w:t xml:space="preserve"> соответствующей роли ЮНЕП и С</w:t>
      </w:r>
      <w:r w:rsidR="00D02EFF" w:rsidRPr="00F8342E">
        <w:rPr>
          <w:sz w:val="20"/>
        </w:rPr>
        <w:t xml:space="preserve">торон и подотчетности различных исполнительных секретарей в процессе управления работой секретариата, обеспеченного ЮНЕП. Характер и содержание положений существующих меморандумов между Директором-исполнителем ЮНЕП и многосторонними природоохранными соглашениями значительным образом различаются с точки зрения формулировок и терминологии, предоставляемых ими полномочий, способов изложения и отражения вопросов подотчетности, роли и мандата Директора-исполнителя и старших должностных лиц секретариатов. В этой связи крайне важно, чтобы в эти механизмы были внесены изменения посредством общего и согласованного рамочного соглашения (или договоренности), сохраняя при этом определенную гибкость для удовлетворения конкретных и правомерных </w:t>
      </w:r>
      <w:r w:rsidR="00531350" w:rsidRPr="00F8342E">
        <w:rPr>
          <w:sz w:val="20"/>
        </w:rPr>
        <w:t>требований отдельных конвенций.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42.</w:t>
      </w:r>
      <w:r>
        <w:rPr>
          <w:sz w:val="20"/>
        </w:rPr>
        <w:tab/>
      </w:r>
      <w:r w:rsidR="00D02EFF" w:rsidRPr="00F8342E">
        <w:rPr>
          <w:sz w:val="20"/>
        </w:rPr>
        <w:t>Аналогичным образом, единый подход следует предусмотреть для делегирования Директором-исполнителем полномочий руководителям секретариатов конвенций. Это позволит ЮНЕП установить согласованный рамочны</w:t>
      </w:r>
      <w:r>
        <w:rPr>
          <w:sz w:val="20"/>
        </w:rPr>
        <w:t>й механизм подотчетности, в</w:t>
      </w:r>
      <w:r w:rsidR="00195739">
        <w:rPr>
          <w:sz w:val="20"/>
        </w:rPr>
        <w:t xml:space="preserve"> контексте</w:t>
      </w:r>
      <w:r>
        <w:rPr>
          <w:sz w:val="20"/>
        </w:rPr>
        <w:t xml:space="preserve"> </w:t>
      </w:r>
      <w:r w:rsidR="00D02EFF" w:rsidRPr="00F8342E">
        <w:rPr>
          <w:sz w:val="20"/>
        </w:rPr>
        <w:t>котор</w:t>
      </w:r>
      <w:r w:rsidR="00195739">
        <w:rPr>
          <w:sz w:val="20"/>
        </w:rPr>
        <w:t>ого</w:t>
      </w:r>
      <w:r w:rsidR="00D02EFF" w:rsidRPr="00F8342E">
        <w:rPr>
          <w:sz w:val="20"/>
        </w:rPr>
        <w:t xml:space="preserve"> будет происходить делегирование полномочий и представляться периодическая информация об этом.</w:t>
      </w:r>
    </w:p>
    <w:p w:rsidR="00D02EFF" w:rsidRPr="00F8342E" w:rsidRDefault="00D02EFF" w:rsidP="00F8342E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F8342E">
        <w:rPr>
          <w:b/>
          <w:sz w:val="24"/>
          <w:szCs w:val="24"/>
        </w:rPr>
        <w:tab/>
        <w:t>B.</w:t>
      </w:r>
      <w:r w:rsidRPr="00F8342E">
        <w:rPr>
          <w:b/>
          <w:sz w:val="24"/>
          <w:szCs w:val="24"/>
        </w:rPr>
        <w:tab/>
        <w:t>Административная и финансовая основа</w:t>
      </w:r>
    </w:p>
    <w:p w:rsidR="00D02EFF" w:rsidRPr="00F8342E" w:rsidRDefault="00D02EFF" w:rsidP="00F8342E">
      <w:pPr>
        <w:tabs>
          <w:tab w:val="right" w:pos="851"/>
        </w:tabs>
        <w:spacing w:after="120"/>
        <w:ind w:left="1247" w:right="284" w:hanging="1247"/>
        <w:rPr>
          <w:b/>
          <w:sz w:val="20"/>
        </w:rPr>
      </w:pPr>
      <w:r w:rsidRPr="00F8342E">
        <w:rPr>
          <w:b/>
          <w:sz w:val="20"/>
        </w:rPr>
        <w:tab/>
        <w:t>1.</w:t>
      </w:r>
      <w:r w:rsidRPr="00F8342E">
        <w:rPr>
          <w:b/>
          <w:sz w:val="20"/>
        </w:rPr>
        <w:tab/>
        <w:t>Анализ</w:t>
      </w:r>
    </w:p>
    <w:p w:rsidR="00D02EFF" w:rsidRPr="00F8342E" w:rsidRDefault="00F8342E" w:rsidP="00F8342E">
      <w:pPr>
        <w:spacing w:after="120"/>
        <w:ind w:left="1247"/>
        <w:rPr>
          <w:sz w:val="20"/>
        </w:rPr>
      </w:pPr>
      <w:r>
        <w:rPr>
          <w:sz w:val="20"/>
        </w:rPr>
        <w:t>43.</w:t>
      </w:r>
      <w:r>
        <w:rPr>
          <w:sz w:val="20"/>
        </w:rPr>
        <w:tab/>
      </w:r>
      <w:r w:rsidR="00D02EFF" w:rsidRPr="00F8342E">
        <w:rPr>
          <w:sz w:val="20"/>
        </w:rPr>
        <w:t>В принципе, функционирование многосторонних природоохранных соглашений, для которых ЮНЕП обеспечивает секретариат или функции секретариата, фин</w:t>
      </w:r>
      <w:r w:rsidR="004B4143">
        <w:rPr>
          <w:sz w:val="20"/>
        </w:rPr>
        <w:t>ансируется их соответствующими С</w:t>
      </w:r>
      <w:r w:rsidR="00D02EFF" w:rsidRPr="00F8342E">
        <w:rPr>
          <w:sz w:val="20"/>
        </w:rPr>
        <w:t>торонами за счет их финансовых взносов. Финансовая деятельность секретариата ЮНЕП регламентируется финансовыми положениями и правилами Организации Объединенных Наций, а также Общими процедурами, регулирующими деятельность Фонда ЮНЕП и финансовыми правилами Фонда. Руководящими органами ряда конвенций приняты конкретные положения и финансовые правила, которыми предусматривается порядок осуществления финансовых операций для соглашений и соответствующих руководящих органов и излагаются соответствующие обязаннос</w:t>
      </w:r>
      <w:r w:rsidR="004B4143">
        <w:rPr>
          <w:sz w:val="20"/>
        </w:rPr>
        <w:t>ти их С</w:t>
      </w:r>
      <w:r w:rsidR="00D02EFF" w:rsidRPr="00F8342E">
        <w:rPr>
          <w:sz w:val="20"/>
        </w:rPr>
        <w:t>торон, Директора-исполнителя и руководителя секретариата.</w:t>
      </w:r>
    </w:p>
    <w:p w:rsidR="00D02EFF" w:rsidRPr="00F8342E" w:rsidRDefault="00F8342E" w:rsidP="00F8342E">
      <w:pPr>
        <w:spacing w:after="120"/>
        <w:ind w:left="1247"/>
        <w:rPr>
          <w:sz w:val="20"/>
        </w:rPr>
      </w:pPr>
      <w:r>
        <w:rPr>
          <w:sz w:val="20"/>
        </w:rPr>
        <w:t>44.</w:t>
      </w:r>
      <w:r>
        <w:rPr>
          <w:sz w:val="20"/>
        </w:rPr>
        <w:tab/>
      </w:r>
      <w:r w:rsidR="00D02EFF" w:rsidRPr="00F8342E">
        <w:rPr>
          <w:sz w:val="20"/>
        </w:rPr>
        <w:t xml:space="preserve">Средства для обеспечения функционирования многосторонних природоохранных соглашений, для которых Директором-исполнителем обеспечивается секретариат или выполняются функции секретариата, размещаются в целевых фондах. Создание этих целевых фондов в ответ на просьбы руководящих органов соответствующих соглашений подлежит утверждению руководящим органом ЮНЕП, и все целевые фонды такого рода создаются в соответствии со статьей V Общих процедур, регулирующих деятельность Фонда ЮНЕП, и, следовательно, регламентируются </w:t>
      </w:r>
      <w:r w:rsidR="008F33E2">
        <w:rPr>
          <w:sz w:val="20"/>
        </w:rPr>
        <w:t>Ф</w:t>
      </w:r>
      <w:r w:rsidR="00D02EFF" w:rsidRPr="00F8342E">
        <w:rPr>
          <w:sz w:val="20"/>
        </w:rPr>
        <w:t xml:space="preserve">инансовыми правилами </w:t>
      </w:r>
      <w:r w:rsidR="008F33E2">
        <w:rPr>
          <w:sz w:val="20"/>
        </w:rPr>
        <w:t xml:space="preserve">Фонда </w:t>
      </w:r>
      <w:r w:rsidR="00D02EFF" w:rsidRPr="00F8342E">
        <w:rPr>
          <w:sz w:val="20"/>
        </w:rPr>
        <w:t>ЮНЕП, изменения в которые последний раз вносились в 1997 году.</w:t>
      </w:r>
    </w:p>
    <w:p w:rsidR="00D02EFF" w:rsidRPr="00F8342E" w:rsidRDefault="00F8342E" w:rsidP="00F8342E">
      <w:pPr>
        <w:spacing w:after="120"/>
        <w:ind w:left="1247"/>
        <w:rPr>
          <w:sz w:val="20"/>
        </w:rPr>
      </w:pPr>
      <w:r>
        <w:rPr>
          <w:sz w:val="20"/>
        </w:rPr>
        <w:t>45.</w:t>
      </w:r>
      <w:r>
        <w:rPr>
          <w:sz w:val="20"/>
        </w:rPr>
        <w:tab/>
      </w:r>
      <w:r w:rsidR="00D02EFF" w:rsidRPr="00F8342E">
        <w:rPr>
          <w:sz w:val="20"/>
        </w:rPr>
        <w:t>В своей резолюции 60/283 от 7 июля 2006 года Генеральная Ассамблея постановила утвердить принятие Организацией Объединенных Наций Международных стандартов учета в государственном секторе (МСУГС). Соответственно, МСУГС применяются Организацией Объединенных Наций с 1 января 2014 года. Все многосторонние природоохранные соглашения, входящие в сферу административной ответственности ЮНЕП, отражены в финансовой отчетности и полностью консолидированы в других элементах деятельности ЮНЕП; этот порядок дейс</w:t>
      </w:r>
      <w:r w:rsidR="00531350" w:rsidRPr="00F8342E">
        <w:rPr>
          <w:sz w:val="20"/>
        </w:rPr>
        <w:t xml:space="preserve">твует и после </w:t>
      </w:r>
      <w:r w:rsidR="008501E4">
        <w:rPr>
          <w:sz w:val="20"/>
        </w:rPr>
        <w:t>перехода на</w:t>
      </w:r>
      <w:r w:rsidR="00531350" w:rsidRPr="00F8342E">
        <w:rPr>
          <w:sz w:val="20"/>
        </w:rPr>
        <w:t xml:space="preserve"> МСУГС.</w:t>
      </w:r>
    </w:p>
    <w:p w:rsidR="00D02EFF" w:rsidRPr="00F8342E" w:rsidRDefault="00F8342E" w:rsidP="00F8342E">
      <w:pPr>
        <w:spacing w:after="120"/>
        <w:ind w:left="1247"/>
        <w:rPr>
          <w:sz w:val="20"/>
        </w:rPr>
      </w:pPr>
      <w:r>
        <w:rPr>
          <w:sz w:val="20"/>
        </w:rPr>
        <w:t>46.</w:t>
      </w:r>
      <w:r>
        <w:rPr>
          <w:sz w:val="20"/>
        </w:rPr>
        <w:tab/>
      </w:r>
      <w:r w:rsidR="00D02EFF" w:rsidRPr="00F8342E">
        <w:rPr>
          <w:sz w:val="20"/>
        </w:rPr>
        <w:t xml:space="preserve">Роль и обязанности Директора-исполнителя ЮНЕП включают обеспечение ряда центральных профильных функций для поддержки функционирования секретариатов конвенций. В их число могут входить: </w:t>
      </w:r>
      <w:r w:rsidR="008F33E2">
        <w:rPr>
          <w:sz w:val="20"/>
        </w:rPr>
        <w:t>прием на работу</w:t>
      </w:r>
      <w:r w:rsidR="00D02EFF" w:rsidRPr="00F8342E">
        <w:rPr>
          <w:sz w:val="20"/>
        </w:rPr>
        <w:t>, классификаци</w:t>
      </w:r>
      <w:r w:rsidR="008F33E2">
        <w:rPr>
          <w:sz w:val="20"/>
        </w:rPr>
        <w:t>я</w:t>
      </w:r>
      <w:r w:rsidR="00D02EFF" w:rsidRPr="00F8342E">
        <w:rPr>
          <w:sz w:val="20"/>
        </w:rPr>
        <w:t xml:space="preserve"> и подбор персонала; </w:t>
      </w:r>
      <w:r w:rsidR="008F33E2">
        <w:rPr>
          <w:sz w:val="20"/>
        </w:rPr>
        <w:t xml:space="preserve">функции </w:t>
      </w:r>
      <w:r w:rsidR="00D02EFF" w:rsidRPr="00F8342E">
        <w:rPr>
          <w:sz w:val="20"/>
        </w:rPr>
        <w:t>расчет</w:t>
      </w:r>
      <w:r w:rsidR="008F33E2">
        <w:rPr>
          <w:sz w:val="20"/>
        </w:rPr>
        <w:t>а заработной платы и выплаты</w:t>
      </w:r>
      <w:r w:rsidR="00D02EFF" w:rsidRPr="00F8342E">
        <w:rPr>
          <w:sz w:val="20"/>
        </w:rPr>
        <w:t xml:space="preserve"> пособий персоналу, включая субсидии на образование, медицинскую страховку, отпуск на родину и репатриацию; программа отпусков на родину и репатриации (тарифицируется в Центральных учреждениях Организации Объединенных Наций в Нью-Йорке); бухгалтерские и финансовые услуги, в том числе </w:t>
      </w:r>
      <w:r w:rsidR="00557BC6">
        <w:rPr>
          <w:sz w:val="20"/>
        </w:rPr>
        <w:t xml:space="preserve">функции </w:t>
      </w:r>
      <w:r w:rsidR="00D02EFF" w:rsidRPr="00F8342E">
        <w:rPr>
          <w:sz w:val="20"/>
        </w:rPr>
        <w:t>подготовк</w:t>
      </w:r>
      <w:r w:rsidR="00557BC6">
        <w:rPr>
          <w:sz w:val="20"/>
        </w:rPr>
        <w:t>и</w:t>
      </w:r>
      <w:r w:rsidR="00D02EFF" w:rsidRPr="00F8342E">
        <w:rPr>
          <w:sz w:val="20"/>
        </w:rPr>
        <w:t xml:space="preserve"> отчетности, выдач</w:t>
      </w:r>
      <w:r w:rsidR="00557BC6">
        <w:rPr>
          <w:sz w:val="20"/>
        </w:rPr>
        <w:t>и</w:t>
      </w:r>
      <w:r w:rsidR="00D02EFF" w:rsidRPr="00F8342E">
        <w:rPr>
          <w:sz w:val="20"/>
        </w:rPr>
        <w:t xml:space="preserve"> ассигнований и выплат,</w:t>
      </w:r>
      <w:r w:rsidR="00557BC6">
        <w:rPr>
          <w:sz w:val="20"/>
        </w:rPr>
        <w:t xml:space="preserve"> учета</w:t>
      </w:r>
      <w:r w:rsidR="00D02EFF" w:rsidRPr="00F8342E">
        <w:rPr>
          <w:sz w:val="20"/>
        </w:rPr>
        <w:t xml:space="preserve"> дебиторск</w:t>
      </w:r>
      <w:r w:rsidR="00557BC6">
        <w:rPr>
          <w:sz w:val="20"/>
        </w:rPr>
        <w:t>ой</w:t>
      </w:r>
      <w:r w:rsidR="00D02EFF" w:rsidRPr="00F8342E">
        <w:rPr>
          <w:sz w:val="20"/>
        </w:rPr>
        <w:t xml:space="preserve"> и кредиторск</w:t>
      </w:r>
      <w:r w:rsidR="00557BC6">
        <w:rPr>
          <w:sz w:val="20"/>
        </w:rPr>
        <w:t>ой</w:t>
      </w:r>
      <w:r w:rsidR="00D02EFF" w:rsidRPr="00F8342E">
        <w:rPr>
          <w:sz w:val="20"/>
        </w:rPr>
        <w:t xml:space="preserve"> задолженности, регулировани</w:t>
      </w:r>
      <w:r w:rsidR="00557BC6">
        <w:rPr>
          <w:sz w:val="20"/>
        </w:rPr>
        <w:t>я</w:t>
      </w:r>
      <w:r w:rsidR="00D02EFF" w:rsidRPr="00F8342E">
        <w:rPr>
          <w:sz w:val="20"/>
        </w:rPr>
        <w:t xml:space="preserve"> движения кассовых средств, казначейски</w:t>
      </w:r>
      <w:r w:rsidR="00557BC6">
        <w:rPr>
          <w:sz w:val="20"/>
        </w:rPr>
        <w:t>х</w:t>
      </w:r>
      <w:r w:rsidR="00D02EFF" w:rsidRPr="00F8342E">
        <w:rPr>
          <w:sz w:val="20"/>
        </w:rPr>
        <w:t xml:space="preserve"> операци</w:t>
      </w:r>
      <w:r w:rsidR="00557BC6">
        <w:rPr>
          <w:sz w:val="20"/>
        </w:rPr>
        <w:t>й</w:t>
      </w:r>
      <w:r w:rsidR="00D02EFF" w:rsidRPr="00F8342E">
        <w:rPr>
          <w:sz w:val="20"/>
        </w:rPr>
        <w:t xml:space="preserve"> и получени</w:t>
      </w:r>
      <w:r w:rsidR="00557BC6">
        <w:rPr>
          <w:sz w:val="20"/>
        </w:rPr>
        <w:t>я</w:t>
      </w:r>
      <w:r w:rsidR="00D02EFF" w:rsidRPr="00F8342E">
        <w:rPr>
          <w:sz w:val="20"/>
        </w:rPr>
        <w:t xml:space="preserve"> и регистраци</w:t>
      </w:r>
      <w:r w:rsidR="00557BC6">
        <w:rPr>
          <w:sz w:val="20"/>
        </w:rPr>
        <w:t>и</w:t>
      </w:r>
      <w:r w:rsidR="00D02EFF" w:rsidRPr="00F8342E">
        <w:rPr>
          <w:sz w:val="20"/>
        </w:rPr>
        <w:t xml:space="preserve"> взносов; осуществление выплат при прекращении службы </w:t>
      </w:r>
      <w:r w:rsidR="00D02EFF" w:rsidRPr="00F8342E">
        <w:rPr>
          <w:sz w:val="20"/>
        </w:rPr>
        <w:lastRenderedPageBreak/>
        <w:t xml:space="preserve">и после выхода на пенсию, в том числе администрирование отчислений в пенсионный фонд и медицинского страхования после выхода на пенсию; хозяйственное управление имуществом длительного пользования; внутренние ревизии, расследования, проверки и внешние ревизии; участие в системе отправления правосудия </w:t>
      </w:r>
      <w:r w:rsidR="008501E4">
        <w:rPr>
          <w:sz w:val="20"/>
        </w:rPr>
        <w:t>Организации Объединенных Наций</w:t>
      </w:r>
      <w:r w:rsidR="00D02EFF" w:rsidRPr="00F8342E">
        <w:rPr>
          <w:sz w:val="20"/>
        </w:rPr>
        <w:t xml:space="preserve">; </w:t>
      </w:r>
      <w:r w:rsidR="00557BC6">
        <w:rPr>
          <w:sz w:val="20"/>
        </w:rPr>
        <w:t xml:space="preserve">услуги </w:t>
      </w:r>
      <w:r w:rsidR="00D02EFF" w:rsidRPr="00F8342E">
        <w:rPr>
          <w:sz w:val="20"/>
        </w:rPr>
        <w:t>экспедици</w:t>
      </w:r>
      <w:r w:rsidR="00557BC6">
        <w:rPr>
          <w:sz w:val="20"/>
        </w:rPr>
        <w:t>и</w:t>
      </w:r>
      <w:r w:rsidR="00D02EFF" w:rsidRPr="00F8342E">
        <w:rPr>
          <w:sz w:val="20"/>
        </w:rPr>
        <w:t>, почтовы</w:t>
      </w:r>
      <w:r w:rsidR="00557BC6">
        <w:rPr>
          <w:sz w:val="20"/>
        </w:rPr>
        <w:t>х</w:t>
      </w:r>
      <w:r w:rsidR="00D02EFF" w:rsidRPr="00F8342E">
        <w:rPr>
          <w:sz w:val="20"/>
        </w:rPr>
        <w:t xml:space="preserve"> отправлени</w:t>
      </w:r>
      <w:r w:rsidR="00557BC6">
        <w:rPr>
          <w:sz w:val="20"/>
        </w:rPr>
        <w:t>й</w:t>
      </w:r>
      <w:r w:rsidR="00D02EFF" w:rsidRPr="00F8342E">
        <w:rPr>
          <w:sz w:val="20"/>
        </w:rPr>
        <w:t xml:space="preserve">, </w:t>
      </w:r>
      <w:r w:rsidR="00557BC6">
        <w:rPr>
          <w:sz w:val="20"/>
        </w:rPr>
        <w:t xml:space="preserve">получения </w:t>
      </w:r>
      <w:r w:rsidR="00D02EFF" w:rsidRPr="00F8342E">
        <w:rPr>
          <w:sz w:val="20"/>
        </w:rPr>
        <w:t xml:space="preserve">виз и </w:t>
      </w:r>
      <w:r w:rsidR="00557BC6">
        <w:rPr>
          <w:sz w:val="20"/>
        </w:rPr>
        <w:t xml:space="preserve">выдачи </w:t>
      </w:r>
      <w:r w:rsidR="00D02EFF" w:rsidRPr="00F8342E">
        <w:rPr>
          <w:sz w:val="20"/>
        </w:rPr>
        <w:t>пропуск</w:t>
      </w:r>
      <w:r w:rsidR="00557BC6">
        <w:rPr>
          <w:sz w:val="20"/>
        </w:rPr>
        <w:t>ов</w:t>
      </w:r>
      <w:r w:rsidR="00D02EFF" w:rsidRPr="00F8342E">
        <w:rPr>
          <w:sz w:val="20"/>
        </w:rPr>
        <w:t xml:space="preserve"> Организации Объединенных Наций; доступ к внутренней сети, сети Интернет и почтовым системам Организации Объединенных Наций и ЮНЕП.</w:t>
      </w:r>
    </w:p>
    <w:p w:rsidR="00D02EFF" w:rsidRPr="00F8342E" w:rsidRDefault="00F8342E" w:rsidP="00F8342E">
      <w:pPr>
        <w:spacing w:after="120"/>
        <w:ind w:left="1247"/>
        <w:rPr>
          <w:sz w:val="20"/>
        </w:rPr>
      </w:pPr>
      <w:r>
        <w:rPr>
          <w:sz w:val="20"/>
        </w:rPr>
        <w:t>47.</w:t>
      </w:r>
      <w:r>
        <w:rPr>
          <w:sz w:val="20"/>
        </w:rPr>
        <w:tab/>
      </w:r>
      <w:r w:rsidR="00D02EFF" w:rsidRPr="00F8342E">
        <w:rPr>
          <w:sz w:val="20"/>
        </w:rPr>
        <w:t>В целом, если состав и бюджет секретариата конвен</w:t>
      </w:r>
      <w:r w:rsidR="004B4143">
        <w:rPr>
          <w:sz w:val="20"/>
        </w:rPr>
        <w:t>ции определяются С</w:t>
      </w:r>
      <w:r w:rsidR="00D02EFF" w:rsidRPr="00F8342E">
        <w:rPr>
          <w:sz w:val="20"/>
        </w:rPr>
        <w:t xml:space="preserve">торонами этого соглашения через его собственный руководящий орган, административное сопровождение и руководство сотрудниками ЮНЕП, обслуживающими этот секретариат, регламентируются правилами и положениями о персонале Организации Объединенных Наций, которые применяются к ЮНЕП. Сотрудники секретариата ЮНЕП, который является частью Секретариата Организации Объединенных Наций, назначаются Генеральным секретарем Организации Объединенных Наций согласно положениям, установленным Генеральной Ассамблеей, как это предусмотрено в пункте 1 статьи 101 Устава Организации Объединенных Наций. В этом контексте Генеральный секретарь издает административные инструкции и директивы, касающиеся кадровой политики. В рамках полномочий, делегированных Генеральным секретарем, Директор-исполнитель </w:t>
      </w:r>
      <w:r w:rsidR="00557BC6">
        <w:rPr>
          <w:sz w:val="20"/>
        </w:rPr>
        <w:t>выполняет</w:t>
      </w:r>
      <w:r w:rsidR="00D02EFF" w:rsidRPr="00F8342E">
        <w:rPr>
          <w:sz w:val="20"/>
        </w:rPr>
        <w:t xml:space="preserve"> необходимые действия </w:t>
      </w:r>
      <w:r w:rsidR="00557BC6">
        <w:rPr>
          <w:sz w:val="20"/>
        </w:rPr>
        <w:t>по</w:t>
      </w:r>
      <w:r w:rsidR="00D02EFF" w:rsidRPr="00F8342E">
        <w:rPr>
          <w:sz w:val="20"/>
        </w:rPr>
        <w:t xml:space="preserve"> </w:t>
      </w:r>
      <w:r w:rsidR="00557BC6">
        <w:rPr>
          <w:sz w:val="20"/>
        </w:rPr>
        <w:t xml:space="preserve">осуществлению </w:t>
      </w:r>
      <w:r w:rsidR="00D02EFF" w:rsidRPr="00F8342E">
        <w:rPr>
          <w:sz w:val="20"/>
        </w:rPr>
        <w:t>руководства сотрудниками секретариата ЮНЕП, включая сотрудников, обслуживающих секретариаты конвенций. В ра</w:t>
      </w:r>
      <w:r w:rsidR="008501E4">
        <w:rPr>
          <w:sz w:val="20"/>
        </w:rPr>
        <w:t>мках секретариата ЮНЕП Директор</w:t>
      </w:r>
      <w:r w:rsidR="008501E4">
        <w:rPr>
          <w:sz w:val="20"/>
        </w:rPr>
        <w:noBreakHyphen/>
      </w:r>
      <w:r w:rsidR="00D02EFF" w:rsidRPr="00F8342E">
        <w:rPr>
          <w:sz w:val="20"/>
        </w:rPr>
        <w:t>исполнитель может делегировать определенный объем полномочий в этом отношении старшим руководителям, включая глав секретариат</w:t>
      </w:r>
      <w:r w:rsidR="00557BC6">
        <w:rPr>
          <w:sz w:val="20"/>
        </w:rPr>
        <w:t>ов</w:t>
      </w:r>
      <w:r w:rsidR="00D02EFF" w:rsidRPr="00F8342E">
        <w:rPr>
          <w:sz w:val="20"/>
        </w:rPr>
        <w:t xml:space="preserve"> многосторонн</w:t>
      </w:r>
      <w:r w:rsidR="00557BC6">
        <w:rPr>
          <w:sz w:val="20"/>
        </w:rPr>
        <w:t>их</w:t>
      </w:r>
      <w:r w:rsidR="00D02EFF" w:rsidRPr="00F8342E">
        <w:rPr>
          <w:sz w:val="20"/>
        </w:rPr>
        <w:t xml:space="preserve"> природоохранн</w:t>
      </w:r>
      <w:r w:rsidR="00557BC6">
        <w:rPr>
          <w:sz w:val="20"/>
        </w:rPr>
        <w:t>ых</w:t>
      </w:r>
      <w:r w:rsidR="00D02EFF" w:rsidRPr="00F8342E">
        <w:rPr>
          <w:sz w:val="20"/>
        </w:rPr>
        <w:t xml:space="preserve"> соглашени</w:t>
      </w:r>
      <w:r w:rsidR="00557BC6">
        <w:rPr>
          <w:sz w:val="20"/>
        </w:rPr>
        <w:t>й</w:t>
      </w:r>
      <w:r w:rsidR="00D02EFF" w:rsidRPr="00F8342E">
        <w:rPr>
          <w:sz w:val="20"/>
        </w:rPr>
        <w:t>.</w:t>
      </w:r>
    </w:p>
    <w:p w:rsidR="00D02EFF" w:rsidRPr="00F8342E" w:rsidRDefault="00F8342E" w:rsidP="00F8342E">
      <w:pPr>
        <w:spacing w:after="120"/>
        <w:ind w:left="1247"/>
        <w:rPr>
          <w:sz w:val="20"/>
        </w:rPr>
      </w:pPr>
      <w:r>
        <w:rPr>
          <w:sz w:val="20"/>
        </w:rPr>
        <w:t>48.</w:t>
      </w:r>
      <w:r>
        <w:rPr>
          <w:sz w:val="20"/>
        </w:rPr>
        <w:tab/>
      </w:r>
      <w:r w:rsidR="00D02EFF" w:rsidRPr="00F8342E">
        <w:rPr>
          <w:sz w:val="20"/>
        </w:rPr>
        <w:t xml:space="preserve">Также во исполнение резолюции 60/283, в которой Генеральная Ассамблея постановила заменить Комплексную систему управленческой информации (ИМИС) системой общеорганизационного планирования ресурсов следующего поколения или другой сопоставимой системой, система </w:t>
      </w:r>
      <w:r w:rsidRPr="00F8342E">
        <w:rPr>
          <w:sz w:val="20"/>
        </w:rPr>
        <w:t>«Умоджа»</w:t>
      </w:r>
      <w:r w:rsidR="00D02EFF" w:rsidRPr="00F8342E">
        <w:rPr>
          <w:sz w:val="20"/>
        </w:rPr>
        <w:t xml:space="preserve"> предназначена для создания компактных административных процессов и повышения эффективности функционирования Организации; согласования и стандартизация работы с кадровыми, финансовыми и материальными ресурсами в рамках всего Секретариата Организации Объединенных Наций; усиления эффективности, транспарентности и механизмов внутреннего контроля для всех административных операций; и обеспечения более эффективного контроля и использования ресурсов субъектами, принимающими решения (руководители и государства-члены). Система </w:t>
      </w:r>
      <w:r w:rsidR="00531350" w:rsidRPr="00F8342E">
        <w:rPr>
          <w:sz w:val="20"/>
        </w:rPr>
        <w:t>«Умоджа»</w:t>
      </w:r>
      <w:r w:rsidR="00390690">
        <w:rPr>
          <w:sz w:val="20"/>
        </w:rPr>
        <w:t xml:space="preserve"> была внедрена в Центральных у</w:t>
      </w:r>
      <w:r w:rsidR="00D02EFF" w:rsidRPr="00F8342E">
        <w:rPr>
          <w:sz w:val="20"/>
        </w:rPr>
        <w:t>чреждениях Организации Объединенных Наций, в Отделении Организации Объединенных Наций в Найроби, в Отделении Организации Объединенных Наций в Женеве и в ЮНЕП в 2015 году, и возникающие вопросы, трудности и проблемы и конкретные проблемы, связанные с ее работой, решаются координированным</w:t>
      </w:r>
      <w:r w:rsidR="008501E4">
        <w:rPr>
          <w:sz w:val="20"/>
        </w:rPr>
        <w:t xml:space="preserve"> образом</w:t>
      </w:r>
      <w:r w:rsidR="00D02EFF" w:rsidRPr="00F8342E">
        <w:rPr>
          <w:sz w:val="20"/>
        </w:rPr>
        <w:t xml:space="preserve"> Группой внедрения системы </w:t>
      </w:r>
      <w:r w:rsidR="00531350" w:rsidRPr="00F8342E">
        <w:rPr>
          <w:sz w:val="20"/>
        </w:rPr>
        <w:t>«Умоджа»</w:t>
      </w:r>
      <w:r w:rsidR="00D02EFF" w:rsidRPr="00F8342E">
        <w:rPr>
          <w:sz w:val="20"/>
        </w:rPr>
        <w:t>.</w:t>
      </w:r>
    </w:p>
    <w:p w:rsidR="00D02EFF" w:rsidRPr="00F8342E" w:rsidRDefault="00D02EFF" w:rsidP="00F8342E">
      <w:pPr>
        <w:tabs>
          <w:tab w:val="right" w:pos="851"/>
        </w:tabs>
        <w:spacing w:after="120"/>
        <w:ind w:left="1247" w:right="284" w:hanging="1247"/>
        <w:rPr>
          <w:b/>
          <w:sz w:val="20"/>
        </w:rPr>
      </w:pPr>
      <w:r w:rsidRPr="00F8342E">
        <w:rPr>
          <w:b/>
          <w:sz w:val="20"/>
        </w:rPr>
        <w:tab/>
        <w:t>2.</w:t>
      </w:r>
      <w:r w:rsidRPr="00F8342E">
        <w:rPr>
          <w:b/>
          <w:sz w:val="20"/>
        </w:rPr>
        <w:tab/>
        <w:t>Рекомендации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49.</w:t>
      </w:r>
      <w:r>
        <w:rPr>
          <w:sz w:val="20"/>
        </w:rPr>
        <w:tab/>
      </w:r>
      <w:r w:rsidR="00D02EFF" w:rsidRPr="00F8342E">
        <w:rPr>
          <w:sz w:val="20"/>
        </w:rPr>
        <w:t>В своих замечаниях по поводу проведенного Объединенной инспекционной группой обзора экологического руководства в системе Организации Объединенных Наций (JIU/REP/2014/4) Координационным советом руководителей системы Организации Объединенных Наций были переданы следующие наблюдения организаций</w:t>
      </w:r>
      <w:r w:rsidR="008501E4">
        <w:rPr>
          <w:sz w:val="20"/>
        </w:rPr>
        <w:t xml:space="preserve"> </w:t>
      </w:r>
      <w:r w:rsidR="008501E4">
        <w:rPr>
          <w:sz w:val="20"/>
        </w:rPr>
        <w:noBreakHyphen/>
        <w:t xml:space="preserve"> </w:t>
      </w:r>
      <w:r w:rsidR="00D02EFF" w:rsidRPr="00F8342E">
        <w:rPr>
          <w:sz w:val="20"/>
        </w:rPr>
        <w:t>членов Совета касательно отношений между ЮНЕП и многосторонними природоохранными соглашениями:</w:t>
      </w:r>
    </w:p>
    <w:p w:rsidR="00D02EFF" w:rsidRPr="00F8342E" w:rsidRDefault="00F8342E" w:rsidP="00F8342E">
      <w:pPr>
        <w:spacing w:after="120"/>
        <w:ind w:left="1871" w:firstLine="624"/>
        <w:rPr>
          <w:sz w:val="20"/>
        </w:rPr>
      </w:pPr>
      <w:r>
        <w:rPr>
          <w:sz w:val="20"/>
        </w:rPr>
        <w:t>«</w:t>
      </w:r>
      <w:r w:rsidR="00D02EFF" w:rsidRPr="00F8342E">
        <w:rPr>
          <w:sz w:val="20"/>
        </w:rPr>
        <w:t>Организациями принимается во внимание, что один из важных аспектов аналитической работы, содержащейся в докладе, касается сложного вопроса о функциональных отношениях между ЮНЕП и МПС, и приветствуется внимание, которое ОИГ уделяет широкому вопросу «</w:t>
      </w:r>
      <w:r w:rsidR="007D10A7">
        <w:rPr>
          <w:sz w:val="20"/>
        </w:rPr>
        <w:t>к</w:t>
      </w:r>
      <w:r w:rsidR="00D02EFF" w:rsidRPr="00F8342E">
        <w:rPr>
          <w:sz w:val="20"/>
        </w:rPr>
        <w:t>оординации в интересах синергии между многосторонними природоохранными соглашениями и другими организациями». Отмечая, что в разделе «Управление» рассматриваются вопросы, касающиеся предоставления ЮНЕП административных услуг для МПС, организаци</w:t>
      </w:r>
      <w:r w:rsidR="007D10A7">
        <w:rPr>
          <w:sz w:val="20"/>
        </w:rPr>
        <w:t>и</w:t>
      </w:r>
      <w:r w:rsidR="00D02EFF" w:rsidRPr="00F8342E">
        <w:rPr>
          <w:sz w:val="20"/>
        </w:rPr>
        <w:t xml:space="preserve"> согласны с заявлением, содержащимся в пункте 122, что «на этом аспекте отношений ЮНЕП с конвенциями делается слишком сильный акцент»</w:t>
      </w:r>
      <w:r w:rsidR="007D10A7">
        <w:rPr>
          <w:sz w:val="20"/>
        </w:rPr>
        <w:t>,</w:t>
      </w:r>
      <w:r w:rsidR="00D02EFF" w:rsidRPr="00F8342E">
        <w:rPr>
          <w:sz w:val="20"/>
        </w:rPr>
        <w:t xml:space="preserve"> и согласны с тем, что «работа с программами и организация финансирования и общесистемной синергии в Организации Объединенных Наций» является безусловным основным приоритетным направлением в отношениях между ЮНЕП и МПС. При этом организациями подчеркивается, что рекомендации не должны основываться на умозрительном противопоставлении кураторской обязанности ЮНЕП обеспечивать секретариат для ряда МПС и ее способности сосредоточиться на вопросах более программного и стратегического характера, а</w:t>
      </w:r>
      <w:r w:rsidR="00C776AC">
        <w:rPr>
          <w:sz w:val="20"/>
        </w:rPr>
        <w:t>,</w:t>
      </w:r>
      <w:r w:rsidR="00D02EFF" w:rsidRPr="00F8342E">
        <w:rPr>
          <w:sz w:val="20"/>
        </w:rPr>
        <w:t xml:space="preserve"> напротив, для них может оказаться бл</w:t>
      </w:r>
      <w:r w:rsidR="00531350" w:rsidRPr="00F8342E">
        <w:rPr>
          <w:sz w:val="20"/>
        </w:rPr>
        <w:t xml:space="preserve">аготворным, если акцент будет </w:t>
      </w:r>
      <w:r w:rsidR="00531350" w:rsidRPr="00F8342E">
        <w:rPr>
          <w:sz w:val="20"/>
        </w:rPr>
        <w:lastRenderedPageBreak/>
        <w:t>сдел</w:t>
      </w:r>
      <w:r w:rsidR="00D02EFF" w:rsidRPr="00F8342E">
        <w:rPr>
          <w:sz w:val="20"/>
        </w:rPr>
        <w:t xml:space="preserve">ан на то, как решения для имеющихся управленческих/административных проблем должны стать частью единого </w:t>
      </w:r>
      <w:r>
        <w:rPr>
          <w:sz w:val="20"/>
        </w:rPr>
        <w:t>«</w:t>
      </w:r>
      <w:r w:rsidR="00D02EFF" w:rsidRPr="00F8342E">
        <w:rPr>
          <w:sz w:val="20"/>
        </w:rPr>
        <w:t>комплекса услуг</w:t>
      </w:r>
      <w:r>
        <w:rPr>
          <w:sz w:val="20"/>
        </w:rPr>
        <w:t>»</w:t>
      </w:r>
      <w:r w:rsidR="00D02EFF" w:rsidRPr="00F8342E">
        <w:rPr>
          <w:sz w:val="20"/>
        </w:rPr>
        <w:t>, оказываемого для МПС эффективным и действенным образом</w:t>
      </w:r>
      <w:r>
        <w:rPr>
          <w:sz w:val="20"/>
        </w:rPr>
        <w:t>»</w:t>
      </w:r>
      <w:r w:rsidR="00D02EFF" w:rsidRPr="00F8342E">
        <w:rPr>
          <w:sz w:val="20"/>
        </w:rPr>
        <w:t>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50.</w:t>
      </w:r>
      <w:r>
        <w:rPr>
          <w:sz w:val="20"/>
        </w:rPr>
        <w:tab/>
      </w:r>
      <w:r w:rsidR="00D02EFF" w:rsidRPr="00F8342E">
        <w:rPr>
          <w:sz w:val="20"/>
        </w:rPr>
        <w:t>Вышеупомянутые положения следует тщательно учитывать в ходе дальнейших консультаций между ЮНЕП и секретариатами конвенций по вопросам эффективности их административных механизмов и программного сотрудничества.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51.</w:t>
      </w:r>
      <w:r>
        <w:rPr>
          <w:sz w:val="20"/>
        </w:rPr>
        <w:tab/>
      </w:r>
      <w:r w:rsidR="00D02EFF" w:rsidRPr="00F8342E">
        <w:rPr>
          <w:sz w:val="20"/>
        </w:rPr>
        <w:t>Целевой группой было отмечено, что полную функциональность и</w:t>
      </w:r>
      <w:r w:rsidR="00531350" w:rsidRPr="00F8342E">
        <w:rPr>
          <w:sz w:val="20"/>
        </w:rPr>
        <w:t xml:space="preserve"> положительные стороны системы «</w:t>
      </w:r>
      <w:r w:rsidR="00D02EFF" w:rsidRPr="00F8342E">
        <w:rPr>
          <w:sz w:val="20"/>
        </w:rPr>
        <w:t>Умоджа</w:t>
      </w:r>
      <w:r w:rsidR="00531350" w:rsidRPr="00F8342E">
        <w:rPr>
          <w:sz w:val="20"/>
        </w:rPr>
        <w:t>»</w:t>
      </w:r>
      <w:r w:rsidR="00D02EFF" w:rsidRPr="00F8342E">
        <w:rPr>
          <w:sz w:val="20"/>
        </w:rPr>
        <w:t xml:space="preserve"> еще предстоит реализовать и что работа неуклонно продвигается в правильном направлении. Конкретные потребности многосторонних природоохранных соглашений должны удовлетворяться посредством установленных рамок для координации между ЮНЕП и Отделением Организации Объединенных Наций в Найроби – Группой внедрения в Найроби – и через систему быстрого реагирования, созданную самой ЮНЕП в рам</w:t>
      </w:r>
      <w:r w:rsidR="00531350" w:rsidRPr="00F8342E">
        <w:rPr>
          <w:sz w:val="20"/>
        </w:rPr>
        <w:t>ках процесса внедрения системы «Умоджа»</w:t>
      </w:r>
      <w:r w:rsidR="00D02EFF" w:rsidRPr="00F8342E">
        <w:rPr>
          <w:sz w:val="20"/>
        </w:rPr>
        <w:t>.</w:t>
      </w:r>
    </w:p>
    <w:p w:rsidR="00D02EFF" w:rsidRPr="00F8342E" w:rsidRDefault="00F8342E" w:rsidP="00F8342E">
      <w:pPr>
        <w:spacing w:after="120"/>
        <w:ind w:left="1248"/>
        <w:rPr>
          <w:sz w:val="20"/>
        </w:rPr>
      </w:pPr>
      <w:r>
        <w:rPr>
          <w:sz w:val="20"/>
        </w:rPr>
        <w:t>52.</w:t>
      </w:r>
      <w:r>
        <w:rPr>
          <w:sz w:val="20"/>
        </w:rPr>
        <w:tab/>
      </w:r>
      <w:r w:rsidR="00D02EFF" w:rsidRPr="00F8342E">
        <w:rPr>
          <w:sz w:val="20"/>
        </w:rPr>
        <w:t>В то же время предлагается п</w:t>
      </w:r>
      <w:r w:rsidR="00531350" w:rsidRPr="00F8342E">
        <w:rPr>
          <w:sz w:val="20"/>
        </w:rPr>
        <w:t>р</w:t>
      </w:r>
      <w:r w:rsidR="00D02EFF" w:rsidRPr="00F8342E">
        <w:rPr>
          <w:sz w:val="20"/>
        </w:rPr>
        <w:t xml:space="preserve">одолжать работу по определению постоянных операционных процедур для административных и финансовых механизмов с целью дальнейшего повышения качества услуг, оказываемых многосторонним природоохранным соглашениям. В качестве последующей меры следует рассмотреть вопрос о разработке основных показателей результативности. </w:t>
      </w:r>
    </w:p>
    <w:p w:rsidR="00D02EFF" w:rsidRPr="00F8342E" w:rsidRDefault="00F8342E" w:rsidP="00F8342E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F8342E">
        <w:rPr>
          <w:b/>
          <w:sz w:val="24"/>
          <w:szCs w:val="24"/>
        </w:rPr>
        <w:tab/>
        <w:t>С.</w:t>
      </w:r>
      <w:r w:rsidRPr="00F8342E">
        <w:rPr>
          <w:b/>
          <w:sz w:val="24"/>
          <w:szCs w:val="24"/>
        </w:rPr>
        <w:tab/>
        <w:t>Программное сотрудничество</w:t>
      </w:r>
    </w:p>
    <w:p w:rsidR="00223CEF" w:rsidRPr="00223CEF" w:rsidRDefault="00223CEF" w:rsidP="00223CEF">
      <w:pPr>
        <w:tabs>
          <w:tab w:val="right" w:pos="851"/>
        </w:tabs>
        <w:spacing w:after="120"/>
        <w:ind w:left="1247" w:right="284" w:hanging="1247"/>
        <w:rPr>
          <w:b/>
          <w:sz w:val="20"/>
        </w:rPr>
      </w:pPr>
      <w:r w:rsidRPr="00223CEF">
        <w:rPr>
          <w:b/>
          <w:sz w:val="20"/>
        </w:rPr>
        <w:tab/>
        <w:t>1.</w:t>
      </w:r>
      <w:r w:rsidRPr="00223CEF">
        <w:rPr>
          <w:b/>
          <w:sz w:val="20"/>
        </w:rPr>
        <w:tab/>
        <w:t>Анализ</w:t>
      </w:r>
    </w:p>
    <w:p w:rsidR="00223CEF" w:rsidRPr="00223CEF" w:rsidRDefault="00223CEF" w:rsidP="00223CEF">
      <w:pPr>
        <w:spacing w:after="120"/>
        <w:ind w:left="1248"/>
        <w:rPr>
          <w:sz w:val="20"/>
        </w:rPr>
      </w:pPr>
      <w:r>
        <w:rPr>
          <w:sz w:val="20"/>
        </w:rPr>
        <w:t>53.</w:t>
      </w:r>
      <w:r>
        <w:rPr>
          <w:sz w:val="20"/>
        </w:rPr>
        <w:tab/>
      </w:r>
      <w:r w:rsidRPr="00223CEF">
        <w:rPr>
          <w:sz w:val="20"/>
        </w:rPr>
        <w:t xml:space="preserve">Программная работа ЮНЕП рассматривается и строится ею посредством различных инструментов планирования, включая среднесрочную стратегию ЮНЕП, двухгодичные программы работы и бюджеты. Именно в этом контексте следует добиваться более систематического и структурированного программного сотрудничества между ЮНЕП и многосторонними природоохранными соглашениями с целью усиления синергии в соответствующих направлениях </w:t>
      </w:r>
      <w:r>
        <w:rPr>
          <w:sz w:val="20"/>
        </w:rPr>
        <w:t>деятельности в рамках программ.</w:t>
      </w:r>
    </w:p>
    <w:p w:rsidR="00223CEF" w:rsidRPr="00223CEF" w:rsidRDefault="00223CEF" w:rsidP="00223CEF">
      <w:pPr>
        <w:spacing w:after="120"/>
        <w:ind w:left="1248"/>
        <w:rPr>
          <w:sz w:val="20"/>
        </w:rPr>
      </w:pPr>
      <w:r>
        <w:rPr>
          <w:sz w:val="20"/>
        </w:rPr>
        <w:t>54.</w:t>
      </w:r>
      <w:r>
        <w:rPr>
          <w:sz w:val="20"/>
        </w:rPr>
        <w:tab/>
      </w:r>
      <w:r w:rsidRPr="00223CEF">
        <w:rPr>
          <w:sz w:val="20"/>
        </w:rPr>
        <w:t>ЮНЕП установлено семь программных приоритетных направлений (подпрограмм) в ее среднесрочной стратегии: изменение климата; химические вещества и отходы; устойчивость к стихийным бедствиям и конфликтам; здоровые и продуктивные экосистемы; экологическое руководство; эффективное использовани</w:t>
      </w:r>
      <w:r w:rsidR="007D10A7">
        <w:rPr>
          <w:sz w:val="20"/>
        </w:rPr>
        <w:t>е</w:t>
      </w:r>
      <w:r w:rsidRPr="00223CEF">
        <w:rPr>
          <w:sz w:val="20"/>
        </w:rPr>
        <w:t xml:space="preserve"> ресурсов; </w:t>
      </w:r>
      <w:r w:rsidR="007D10A7">
        <w:rPr>
          <w:sz w:val="20"/>
        </w:rPr>
        <w:t xml:space="preserve">и </w:t>
      </w:r>
      <w:r w:rsidRPr="00223CEF">
        <w:rPr>
          <w:sz w:val="20"/>
        </w:rPr>
        <w:t>контроль за состоянием окружающей среды. Содействие согласованности политики между ЮНЕП и многосторонними природоохранными соглашениями и предоставление поддержки для осуществления многосторонних природоохранных согл</w:t>
      </w:r>
      <w:r>
        <w:rPr>
          <w:sz w:val="20"/>
        </w:rPr>
        <w:t>ашений включены в подпрограмму «</w:t>
      </w:r>
      <w:r w:rsidRPr="00223CEF">
        <w:rPr>
          <w:sz w:val="20"/>
        </w:rPr>
        <w:t>Экологическое руководство</w:t>
      </w:r>
      <w:r>
        <w:rPr>
          <w:sz w:val="20"/>
        </w:rPr>
        <w:t>»</w:t>
      </w:r>
      <w:r w:rsidRPr="00223CEF">
        <w:rPr>
          <w:sz w:val="20"/>
        </w:rPr>
        <w:t>. В других подпрограммах предусматривается программное взаимодействие с отдельными многосторонними природоохранными соглашениями в конкретных профильных тематических областях, например, изменение климата, биоразнообразие (регулирование экосистем) и химические вещества и отходы. Наконец, различные подразделения ЮНЕП тесно сотрудничают с секретариатами соответствующих многосторонних природоохранных соглашений по широкому спектру конкретных вопросов.</w:t>
      </w:r>
    </w:p>
    <w:p w:rsidR="00223CEF" w:rsidRPr="00223CEF" w:rsidRDefault="00223CEF" w:rsidP="00223CEF">
      <w:pPr>
        <w:spacing w:after="120"/>
        <w:ind w:left="1248"/>
        <w:rPr>
          <w:sz w:val="20"/>
        </w:rPr>
      </w:pPr>
      <w:r>
        <w:rPr>
          <w:sz w:val="20"/>
        </w:rPr>
        <w:t>55.</w:t>
      </w:r>
      <w:r>
        <w:rPr>
          <w:sz w:val="20"/>
        </w:rPr>
        <w:tab/>
      </w:r>
      <w:r w:rsidRPr="00223CEF">
        <w:rPr>
          <w:sz w:val="20"/>
        </w:rPr>
        <w:t>В рамках организационной поддержки, оказываемой ЮНЕП в целях осуществления многосторонних природоохранных соглашений и в целях развития программного сотрудничества и синергии между ними и между ЮНЕП и этими соглашениями, в региональных отделениях ЮНЕП назначены сотрудники ЮНЕП по программе, выполняющие функции региональных координаторов для многосторонних природоохранных соглашений по блоку вопросов, касающихся химических веществ и отходов, и по блоку вопросов, касающихся биоразнообразия. П</w:t>
      </w:r>
      <w:r w:rsidR="007D10A7">
        <w:rPr>
          <w:sz w:val="20"/>
        </w:rPr>
        <w:t>рограмма содействия соблюдению п</w:t>
      </w:r>
      <w:r w:rsidRPr="00223CEF">
        <w:rPr>
          <w:sz w:val="20"/>
        </w:rPr>
        <w:t xml:space="preserve">рограммы </w:t>
      </w:r>
      <w:r>
        <w:rPr>
          <w:sz w:val="20"/>
        </w:rPr>
        <w:t>«</w:t>
      </w:r>
      <w:r w:rsidRPr="00223CEF">
        <w:rPr>
          <w:sz w:val="20"/>
        </w:rPr>
        <w:t>Озонэкшн</w:t>
      </w:r>
      <w:r>
        <w:rPr>
          <w:sz w:val="20"/>
        </w:rPr>
        <w:t>»</w:t>
      </w:r>
      <w:r w:rsidRPr="00223CEF">
        <w:rPr>
          <w:sz w:val="20"/>
        </w:rPr>
        <w:t xml:space="preserve"> в рамках Отдела ЮНЕП по технологии, промышленности и экономик</w:t>
      </w:r>
      <w:r w:rsidR="007D10A7">
        <w:rPr>
          <w:sz w:val="20"/>
        </w:rPr>
        <w:t>е</w:t>
      </w:r>
      <w:r w:rsidRPr="00223CEF">
        <w:rPr>
          <w:sz w:val="20"/>
        </w:rPr>
        <w:t xml:space="preserve"> является успешным механизмом связи между национальными сотрудниками по озону в их усилиях по обеспечению соблюдения Монреальского протокола посредством регионального и международного сотрудничества и обмена опытом и информацией. ЮНЕП также координирует создание в Интернете общего информационного портала для многосторонних природоохранных соглашений под названием </w:t>
      </w:r>
      <w:r>
        <w:rPr>
          <w:sz w:val="20"/>
        </w:rPr>
        <w:lastRenderedPageBreak/>
        <w:t>«</w:t>
      </w:r>
      <w:r w:rsidRPr="00223CEF">
        <w:rPr>
          <w:sz w:val="20"/>
        </w:rPr>
        <w:t>ИнфорМЕА</w:t>
      </w:r>
      <w:r>
        <w:rPr>
          <w:sz w:val="20"/>
        </w:rPr>
        <w:t>»</w:t>
      </w:r>
      <w:r w:rsidRPr="00223CEF">
        <w:rPr>
          <w:sz w:val="20"/>
          <w:vertAlign w:val="superscript"/>
        </w:rPr>
        <w:footnoteReference w:id="3"/>
      </w:r>
      <w:r w:rsidRPr="00223CEF">
        <w:rPr>
          <w:sz w:val="20"/>
        </w:rPr>
        <w:t xml:space="preserve"> в тесном сотрудничестве с секретариатами ряда многосторонних природоохранных соглашений.</w:t>
      </w:r>
    </w:p>
    <w:p w:rsidR="00223CEF" w:rsidRPr="00223CEF" w:rsidRDefault="00223CEF" w:rsidP="00223CEF">
      <w:pPr>
        <w:spacing w:after="120"/>
        <w:ind w:left="1248"/>
        <w:rPr>
          <w:sz w:val="20"/>
        </w:rPr>
      </w:pPr>
      <w:r>
        <w:rPr>
          <w:sz w:val="20"/>
        </w:rPr>
        <w:t>56.</w:t>
      </w:r>
      <w:r>
        <w:rPr>
          <w:sz w:val="20"/>
        </w:rPr>
        <w:tab/>
      </w:r>
      <w:r w:rsidRPr="00223CEF">
        <w:rPr>
          <w:sz w:val="20"/>
        </w:rPr>
        <w:t xml:space="preserve">Кроме того, основные юридические услуги на постоянной основе оказываются Роттердамской и Стокгольмской конвенциям. Области сотрудничества с конвенциями по химическими веществам включают программу глобального мониторинга стойких органических загрязнителей, Сеть по ликвидации ПХБ (ПЕН) и Глобальный альянс по </w:t>
      </w:r>
      <w:r w:rsidR="00557BC6">
        <w:rPr>
          <w:sz w:val="20"/>
        </w:rPr>
        <w:t xml:space="preserve">разработке и внедрению продукции, методов и стратегий в виде альтернатив </w:t>
      </w:r>
      <w:r w:rsidRPr="00223CEF">
        <w:rPr>
          <w:sz w:val="20"/>
        </w:rPr>
        <w:t>ДДТ</w:t>
      </w:r>
      <w:r w:rsidR="00557BC6">
        <w:rPr>
          <w:sz w:val="20"/>
        </w:rPr>
        <w:t xml:space="preserve"> для борьбы с переносчиками заболеваний</w:t>
      </w:r>
      <w:r w:rsidRPr="00223CEF">
        <w:rPr>
          <w:sz w:val="20"/>
        </w:rPr>
        <w:t xml:space="preserve">. Секретариаты Базельской, Роттердамской и Стокгольмской конвенций также предоставили кадровую поддержку Сектору ЮНЕП по химическим веществам для успешных переговоров по ртути и секретариату Стратегического подхода к международному регулированию химических веществ в его работе по выявлению синергии для координационно-информационного механизма. Эти секретариаты и Международный центр природоохранных технологий ЮНЕП также давно сотрудничают по </w:t>
      </w:r>
      <w:r>
        <w:rPr>
          <w:sz w:val="20"/>
        </w:rPr>
        <w:t>вопросам, связанным с отходами.</w:t>
      </w:r>
    </w:p>
    <w:p w:rsidR="00223CEF" w:rsidRPr="00223CEF" w:rsidRDefault="00223CEF" w:rsidP="00223CEF">
      <w:pPr>
        <w:spacing w:after="120"/>
        <w:ind w:left="1248"/>
        <w:rPr>
          <w:sz w:val="20"/>
        </w:rPr>
      </w:pPr>
      <w:r>
        <w:rPr>
          <w:sz w:val="20"/>
        </w:rPr>
        <w:t>57.</w:t>
      </w:r>
      <w:r>
        <w:rPr>
          <w:sz w:val="20"/>
        </w:rPr>
        <w:tab/>
      </w:r>
      <w:r w:rsidRPr="00223CEF">
        <w:rPr>
          <w:sz w:val="20"/>
        </w:rPr>
        <w:t>В своих отношениях с программами по региональным морям ЮНЕП способствует согласованности политики, укреплению сотрудничества и координации, а также повышению эффективности. Интеграци</w:t>
      </w:r>
      <w:r w:rsidR="007D10A7">
        <w:rPr>
          <w:sz w:val="20"/>
        </w:rPr>
        <w:t>я</w:t>
      </w:r>
      <w:r w:rsidRPr="00223CEF">
        <w:rPr>
          <w:sz w:val="20"/>
        </w:rPr>
        <w:t xml:space="preserve"> работы ЮНЕП с программами по региональным морям, в свою очередь, повышает общую эффективность глобальной экологической политики, одновременно способствуя эффективному осуществлению деятельности на региональном уровне. Программа по региональным морям, которая базируется в штаб-квартире ЮНЕП и встроена в структуру ЮНЕП и ее программу работы, является глобальной по своему охвату. Благодаря этому, ею обеспечиваются согласованные глобальные рамки, позволяющие различным регионам более эффективно состыковывать их деятельность с глобальной повесткой дня в отношении мо</w:t>
      </w:r>
      <w:r w:rsidR="007D10A7">
        <w:rPr>
          <w:sz w:val="20"/>
        </w:rPr>
        <w:t>р</w:t>
      </w:r>
      <w:r w:rsidRPr="00223CEF">
        <w:rPr>
          <w:sz w:val="20"/>
        </w:rPr>
        <w:t>ей и океанов и более полным образом реализовывать мандаты в отношении мирового океана, одновременно сохраняя свою региональную специфику. Таким образом, различные программы по региональным морям по-прежнему оформляются с учетом потребностей и приоритетов в их конкретных регионах (которые определены и решения по которым приня</w:t>
      </w:r>
      <w:r w:rsidR="007D10A7">
        <w:rPr>
          <w:sz w:val="20"/>
        </w:rPr>
        <w:t>ты правительствами</w:t>
      </w:r>
      <w:r w:rsidR="007D10A7">
        <w:rPr>
          <w:sz w:val="20"/>
        </w:rPr>
        <w:noBreakHyphen/>
      </w:r>
      <w:r w:rsidRPr="00223CEF">
        <w:rPr>
          <w:sz w:val="20"/>
        </w:rPr>
        <w:t>участниками), при этом являясь частью глобальной программы ЮНЕП, общая стратегия которой в конечном итоге определяется руководящим органом ЮНЕП.</w:t>
      </w:r>
    </w:p>
    <w:p w:rsidR="00223CEF" w:rsidRPr="00223CEF" w:rsidRDefault="00223CEF" w:rsidP="00223CEF">
      <w:pPr>
        <w:tabs>
          <w:tab w:val="right" w:pos="851"/>
        </w:tabs>
        <w:spacing w:after="120"/>
        <w:ind w:left="1247" w:right="284" w:hanging="1247"/>
        <w:rPr>
          <w:b/>
          <w:sz w:val="20"/>
        </w:rPr>
      </w:pPr>
      <w:r w:rsidRPr="00223CEF">
        <w:rPr>
          <w:b/>
          <w:sz w:val="20"/>
        </w:rPr>
        <w:tab/>
        <w:t>2.</w:t>
      </w:r>
      <w:r w:rsidRPr="00223CEF">
        <w:rPr>
          <w:b/>
          <w:sz w:val="20"/>
        </w:rPr>
        <w:tab/>
        <w:t>Рекомендации</w:t>
      </w:r>
    </w:p>
    <w:p w:rsidR="00223CEF" w:rsidRPr="00223CEF" w:rsidRDefault="00223CEF" w:rsidP="00223CEF">
      <w:pPr>
        <w:spacing w:after="120"/>
        <w:ind w:left="1247"/>
        <w:rPr>
          <w:sz w:val="20"/>
        </w:rPr>
      </w:pPr>
      <w:r>
        <w:rPr>
          <w:sz w:val="20"/>
        </w:rPr>
        <w:t>58.</w:t>
      </w:r>
      <w:r>
        <w:rPr>
          <w:sz w:val="20"/>
        </w:rPr>
        <w:tab/>
      </w:r>
      <w:r w:rsidRPr="00223CEF">
        <w:rPr>
          <w:sz w:val="20"/>
        </w:rPr>
        <w:t>Согласно докладу целевой группы по вопросам эффективности административных механизмов и программного сотрудничества между ЮНЕП и теми многосторонними природоохранными соглашениями, для которых Программой обеспечивается секретариат или выполняются функции секретариата, ЮНЕП и конвенции уже осуществляют плодотворное программное сотрудничество в значительном объеме. Это сотрудничество следует осуществлять далее и укреплять на различных уровнях и по многим вопросам. Целевой группой было отмечено, однако, что программное сотрудничество не всегда осуществлялось последовательным образом и менялось в зависимости от подходов, принятых в то или иное время конкретными подразделениями ЮНЕП, к различным многосторонним природоохранным соглашениям. Соответственно, существует необходимость в более последовательной координации прог</w:t>
      </w:r>
      <w:r>
        <w:rPr>
          <w:sz w:val="20"/>
        </w:rPr>
        <w:t>раммных мероприятий.</w:t>
      </w:r>
    </w:p>
    <w:p w:rsidR="00223CEF" w:rsidRPr="00223CEF" w:rsidRDefault="007D10A7" w:rsidP="00223CEF">
      <w:pPr>
        <w:spacing w:after="120"/>
        <w:ind w:left="1247"/>
        <w:rPr>
          <w:sz w:val="20"/>
        </w:rPr>
      </w:pPr>
      <w:r>
        <w:rPr>
          <w:sz w:val="20"/>
        </w:rPr>
        <w:t>5</w:t>
      </w:r>
      <w:r w:rsidR="00223CEF">
        <w:rPr>
          <w:sz w:val="20"/>
        </w:rPr>
        <w:t>9.</w:t>
      </w:r>
      <w:r w:rsidR="00223CEF">
        <w:rPr>
          <w:sz w:val="20"/>
        </w:rPr>
        <w:tab/>
      </w:r>
      <w:r w:rsidR="00223CEF" w:rsidRPr="00223CEF">
        <w:rPr>
          <w:sz w:val="20"/>
        </w:rPr>
        <w:t>Учитывая важность укрепления синергии между соответствующими многосторонними природоохранными соглашениями и ЮНЕП, такое программное сотрудничество должно быть стабильным и согласованным; его следует продолжать и далее укреплять в рамках будущих среднесрочных стратегий и связанных с ними программ работы.</w:t>
      </w:r>
    </w:p>
    <w:p w:rsidR="00223CEF" w:rsidRPr="00223CEF" w:rsidRDefault="00223CEF" w:rsidP="00223CEF">
      <w:pPr>
        <w:spacing w:after="240"/>
        <w:ind w:left="1247"/>
        <w:rPr>
          <w:sz w:val="20"/>
        </w:rPr>
      </w:pPr>
      <w:r>
        <w:rPr>
          <w:sz w:val="20"/>
        </w:rPr>
        <w:t>60.</w:t>
      </w:r>
      <w:r>
        <w:rPr>
          <w:sz w:val="20"/>
        </w:rPr>
        <w:tab/>
      </w:r>
      <w:r w:rsidRPr="00223CEF">
        <w:rPr>
          <w:sz w:val="20"/>
        </w:rPr>
        <w:t xml:space="preserve">Руководящие органы соответствующих многосторонних природоохранных соглашений и Ассамблея Организации Объединенных Наций </w:t>
      </w:r>
      <w:r w:rsidR="007D10A7" w:rsidRPr="00223CEF">
        <w:rPr>
          <w:sz w:val="20"/>
        </w:rPr>
        <w:t xml:space="preserve">по </w:t>
      </w:r>
      <w:r w:rsidRPr="00223CEF">
        <w:rPr>
          <w:sz w:val="20"/>
        </w:rPr>
        <w:t>окружающей среде Программы Организации Объединенных Наций по окружающей среде может способствовать программному сотрудничеству и координации, определив условия в своих решениях. Ассамблее по окружающей среде для рассмотрения на ее следующей сессии и руководящим органам соответствующих многосторонних природоохранных соглашений следует представить рекомендацию о том, чтобы они добивались дальнейшего развития программного сотрудничества и координации и использования программной синергии между ними.</w:t>
      </w:r>
    </w:p>
    <w:p w:rsidR="00223CEF" w:rsidRPr="00223CEF" w:rsidRDefault="00223CEF" w:rsidP="00223CEF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223CEF">
        <w:rPr>
          <w:b/>
          <w:sz w:val="28"/>
          <w:szCs w:val="28"/>
        </w:rPr>
        <w:lastRenderedPageBreak/>
        <w:tab/>
        <w:t>V.</w:t>
      </w:r>
      <w:r w:rsidRPr="00223CEF">
        <w:rPr>
          <w:b/>
          <w:sz w:val="28"/>
          <w:szCs w:val="28"/>
        </w:rPr>
        <w:tab/>
        <w:t>Выводы</w:t>
      </w:r>
    </w:p>
    <w:p w:rsidR="00223CEF" w:rsidRPr="00223CEF" w:rsidRDefault="00223CEF" w:rsidP="00223CEF">
      <w:pPr>
        <w:spacing w:after="120"/>
        <w:ind w:left="1247"/>
        <w:rPr>
          <w:sz w:val="20"/>
        </w:rPr>
      </w:pPr>
      <w:r>
        <w:rPr>
          <w:sz w:val="20"/>
        </w:rPr>
        <w:t>61.</w:t>
      </w:r>
      <w:r>
        <w:rPr>
          <w:sz w:val="20"/>
        </w:rPr>
        <w:tab/>
      </w:r>
      <w:r w:rsidRPr="00223CEF">
        <w:rPr>
          <w:sz w:val="20"/>
        </w:rPr>
        <w:t>ЮНЕП в тесном сотрудничестве с секретариатами конвенций будет продолжать выполнять рекомендации целевой группы по вопросам эффективности административных механизмов и программного сотрудничества между ЮНЕП и соответствующими многосторонними природоохранными соглашениями в целях повышения эффективности сотрудничества и осуществления мандата соответствующих многосторонних природоохранных соглашений для увеличения существенного вклада ЮНЕП в реализацию экологических аспектов Повестки дня в области устойчивого развития на период до 2030 года и Целей в области устойчивого</w:t>
      </w:r>
      <w:r>
        <w:rPr>
          <w:sz w:val="20"/>
        </w:rPr>
        <w:t xml:space="preserve"> развития.</w:t>
      </w:r>
    </w:p>
    <w:p w:rsidR="00223CEF" w:rsidRPr="00223CEF" w:rsidRDefault="00223CEF" w:rsidP="00223CEF">
      <w:pPr>
        <w:spacing w:after="120"/>
        <w:ind w:left="1247"/>
        <w:rPr>
          <w:sz w:val="20"/>
        </w:rPr>
      </w:pPr>
      <w:r>
        <w:rPr>
          <w:sz w:val="20"/>
        </w:rPr>
        <w:t>62.</w:t>
      </w:r>
      <w:r>
        <w:rPr>
          <w:sz w:val="20"/>
        </w:rPr>
        <w:tab/>
      </w:r>
      <w:r w:rsidRPr="00223CEF">
        <w:rPr>
          <w:sz w:val="20"/>
        </w:rPr>
        <w:t>Ассамблея по окружающей среде, возможно, пожелает принять к сведению достигнутый прогресс, в частности, в рамках работы целевой группы, учрежденной Директором-исполнителем, в таких областях, как создание значимого и транспарентного процесса консультаций с секретариатами многосторонних природоохранных соглашений, практическая деятельность группы руководителей многосторонних природоохранных соглашений в качестве институционального механизма для координации с секретариатами конвенций, а также усилия по повышению эффективности административных механизмов и программного сотрудничества между ЮНЕП и секретариатами этих многосторон</w:t>
      </w:r>
      <w:r>
        <w:rPr>
          <w:sz w:val="20"/>
        </w:rPr>
        <w:t>них природоохранных соглашений.</w:t>
      </w:r>
    </w:p>
    <w:p w:rsidR="00223CEF" w:rsidRPr="00223CEF" w:rsidRDefault="00223CEF" w:rsidP="00223CEF">
      <w:pPr>
        <w:spacing w:after="120"/>
        <w:ind w:left="1247"/>
        <w:rPr>
          <w:sz w:val="20"/>
        </w:rPr>
      </w:pPr>
      <w:r>
        <w:rPr>
          <w:sz w:val="20"/>
        </w:rPr>
        <w:t>63.</w:t>
      </w:r>
      <w:r>
        <w:rPr>
          <w:sz w:val="20"/>
        </w:rPr>
        <w:tab/>
      </w:r>
      <w:r w:rsidR="007D10A7" w:rsidRPr="00223CEF">
        <w:rPr>
          <w:sz w:val="20"/>
        </w:rPr>
        <w:t>Ассамблея может также пожелать отметить, что любые будущие отношения между ЮНЕП и многосторонними природоохранными соглашениями не должны основываться на умозрительном противопоставлении кураторской обязанности ЮНЕП обеспечивать секретариат для определенных соглашений и ее способности сосредоточиться на вопросах, имеющих более выраженный программный и стратегический характер, а</w:t>
      </w:r>
      <w:r w:rsidR="007D10A7">
        <w:rPr>
          <w:sz w:val="20"/>
        </w:rPr>
        <w:t>,</w:t>
      </w:r>
      <w:r w:rsidR="007D10A7" w:rsidRPr="00223CEF">
        <w:rPr>
          <w:sz w:val="20"/>
        </w:rPr>
        <w:t xml:space="preserve"> напротив, для них могут оказаться благотворными согласованные усилия, направленные на обеспечение того, чтобы решения для имеющихся управленческих </w:t>
      </w:r>
      <w:r w:rsidRPr="00223CEF">
        <w:rPr>
          <w:sz w:val="20"/>
        </w:rPr>
        <w:t>и административных проблем являлись частью единого комплекса услуг, оказываемого многосторонним природоохранным соглашениям эффективным и действенным образом.</w:t>
      </w:r>
    </w:p>
    <w:p w:rsidR="00223CEF" w:rsidRPr="00223CEF" w:rsidRDefault="00223CEF" w:rsidP="00223CEF">
      <w:pPr>
        <w:spacing w:after="120"/>
        <w:ind w:left="1247"/>
        <w:rPr>
          <w:sz w:val="20"/>
        </w:rPr>
      </w:pPr>
      <w:r>
        <w:rPr>
          <w:sz w:val="20"/>
        </w:rPr>
        <w:t>64.</w:t>
      </w:r>
      <w:r>
        <w:rPr>
          <w:sz w:val="20"/>
        </w:rPr>
        <w:tab/>
      </w:r>
      <w:r w:rsidRPr="00223CEF">
        <w:rPr>
          <w:sz w:val="20"/>
        </w:rPr>
        <w:t>В этом контексте Ассамблея, возможно, пожелает призвать Директора-исполнителя внести изменения в существующие меморандумы о взаимопонимании с рядом многосторонних природоохранных соглашений и внедрить стандартизированное и унифицированное рамочное соглашение (или механизм), сохраняя при этом определенную гибкость для удовлетворения конкретных и правомерных требований отдельных соглашений. Аналогичным образом, следует предусмотреть единый подход для делегирования Директором-исполнителем полномочий руководителям секретариатов конвенций. Это позволит ЮНЕП внедрить согласованный рамочный механизм подотчетности, в соответствии с которым будет происходить делегирование полномочий и представляться периодическая информация об этом.</w:t>
      </w:r>
    </w:p>
    <w:p w:rsidR="00223CEF" w:rsidRPr="00223CEF" w:rsidRDefault="00223CEF" w:rsidP="00223CEF">
      <w:pPr>
        <w:spacing w:after="120"/>
        <w:ind w:left="1247"/>
        <w:rPr>
          <w:sz w:val="20"/>
        </w:rPr>
      </w:pPr>
      <w:r>
        <w:rPr>
          <w:sz w:val="20"/>
        </w:rPr>
        <w:t>65.</w:t>
      </w:r>
      <w:r>
        <w:rPr>
          <w:sz w:val="20"/>
        </w:rPr>
        <w:tab/>
      </w:r>
      <w:r w:rsidRPr="00223CEF">
        <w:rPr>
          <w:sz w:val="20"/>
        </w:rPr>
        <w:t xml:space="preserve">Ассамблея, возможно, также пожелает призвать Директора-исполнителя дополнительно укрепить сотрудничество между ЮНЕП и секретариатами не только тех многосторонних природоохранных соглашений, для которых ею обеспечивается секретариат, но и других многосторонних природоохранных соглашений с целью выполнения общих для ЮНЕП и этих соглашений природоохранных задач, в том числе в контексте реализации экологических аспектов Повестки дня в области устойчивого развития на период до 2030 года и Целей </w:t>
      </w:r>
      <w:r>
        <w:rPr>
          <w:sz w:val="20"/>
        </w:rPr>
        <w:t>в области устойчивого развития.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223CEF" w:rsidRPr="00223CEF" w:rsidTr="002532C7">
        <w:tc>
          <w:tcPr>
            <w:tcW w:w="1942" w:type="dxa"/>
            <w:shd w:val="clear" w:color="auto" w:fill="auto"/>
          </w:tcPr>
          <w:p w:rsidR="00223CEF" w:rsidRPr="00223CEF" w:rsidRDefault="00223CEF" w:rsidP="00223CEF">
            <w:pPr>
              <w:spacing w:after="120"/>
              <w:rPr>
                <w:sz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223CEF" w:rsidRPr="00223CEF" w:rsidRDefault="00223CEF" w:rsidP="00223CEF">
            <w:pPr>
              <w:spacing w:after="120"/>
              <w:rPr>
                <w:sz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223CEF" w:rsidRPr="00223CEF" w:rsidRDefault="00223CEF" w:rsidP="00223CEF">
            <w:pPr>
              <w:spacing w:after="120"/>
              <w:rPr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223CEF" w:rsidRPr="00223CEF" w:rsidRDefault="00223CEF" w:rsidP="00223CEF">
            <w:pPr>
              <w:spacing w:after="120"/>
              <w:rPr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223CEF" w:rsidRPr="00223CEF" w:rsidRDefault="00223CEF" w:rsidP="00223CEF">
            <w:pPr>
              <w:spacing w:after="120"/>
              <w:rPr>
                <w:sz w:val="20"/>
              </w:rPr>
            </w:pPr>
          </w:p>
        </w:tc>
      </w:tr>
    </w:tbl>
    <w:p w:rsidR="00B2052E" w:rsidRPr="00223CEF" w:rsidRDefault="00B2052E" w:rsidP="00AA4720">
      <w:pPr>
        <w:spacing w:after="120"/>
        <w:ind w:left="1248"/>
        <w:rPr>
          <w:sz w:val="20"/>
        </w:rPr>
      </w:pPr>
    </w:p>
    <w:sectPr w:rsidR="00B2052E" w:rsidRPr="00223CEF" w:rsidSect="00C84EF5">
      <w:type w:val="continuous"/>
      <w:pgSz w:w="11906" w:h="16838" w:code="9"/>
      <w:pgMar w:top="907" w:right="992" w:bottom="1418" w:left="1418" w:header="539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2B" w:rsidRDefault="00577F2B">
      <w:r>
        <w:separator/>
      </w:r>
    </w:p>
  </w:endnote>
  <w:endnote w:type="continuationSeparator" w:id="0">
    <w:p w:rsidR="00577F2B" w:rsidRDefault="005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9A25BE">
      <w:rPr>
        <w:rStyle w:val="PageNumber"/>
        <w:b/>
        <w:noProof/>
        <w:sz w:val="18"/>
        <w:szCs w:val="18"/>
      </w:rPr>
      <w:t>14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jc w:val="right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9A25BE">
      <w:rPr>
        <w:rStyle w:val="PageNumber"/>
        <w:b/>
        <w:noProof/>
        <w:sz w:val="18"/>
        <w:szCs w:val="18"/>
      </w:rPr>
      <w:t>13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C2288F" w:rsidRDefault="00E16119" w:rsidP="001E1362">
    <w:pPr>
      <w:ind w:left="624"/>
      <w:rPr>
        <w:sz w:val="20"/>
        <w:lang w:val="en-US"/>
      </w:rPr>
    </w:pPr>
    <w:r>
      <w:rPr>
        <w:sz w:val="20"/>
        <w:lang w:val="en-US"/>
      </w:rPr>
      <w:t>_____________________________</w:t>
    </w:r>
  </w:p>
  <w:p w:rsidR="00E16119" w:rsidRPr="00C2288F" w:rsidRDefault="001B6A71" w:rsidP="001E1362">
    <w:pPr>
      <w:spacing w:before="20" w:after="40"/>
      <w:ind w:left="1247"/>
      <w:rPr>
        <w:sz w:val="18"/>
        <w:szCs w:val="18"/>
        <w:lang w:val="en-US"/>
      </w:rPr>
    </w:pPr>
    <w:r>
      <w:rPr>
        <w:sz w:val="18"/>
        <w:szCs w:val="18"/>
        <w:lang w:val="en-US"/>
      </w:rPr>
      <w:t>*</w:t>
    </w:r>
    <w:r>
      <w:rPr>
        <w:sz w:val="18"/>
        <w:szCs w:val="18"/>
        <w:lang w:val="en-US"/>
      </w:rPr>
      <w:tab/>
      <w:t>UNEP/EA.2</w:t>
    </w:r>
    <w:r w:rsidR="0059527D">
      <w:rPr>
        <w:sz w:val="18"/>
        <w:szCs w:val="18"/>
        <w:lang w:val="en-US"/>
      </w:rPr>
      <w:t>/1</w:t>
    </w:r>
    <w:r w:rsidR="00E16119">
      <w:rPr>
        <w:sz w:val="18"/>
        <w:szCs w:val="18"/>
        <w:lang w:val="en-US"/>
      </w:rPr>
      <w:t>.</w:t>
    </w:r>
  </w:p>
  <w:p w:rsidR="00E16119" w:rsidRPr="00D36C43" w:rsidRDefault="00E16119" w:rsidP="001E1362">
    <w:pPr>
      <w:spacing w:before="60" w:after="120"/>
      <w:rPr>
        <w:sz w:val="20"/>
        <w:lang w:val="en-US"/>
      </w:rPr>
    </w:pPr>
    <w:r w:rsidRPr="00D36C43">
      <w:rPr>
        <w:sz w:val="20"/>
        <w:lang w:val="en-US"/>
      </w:rPr>
      <w:t>K</w:t>
    </w:r>
    <w:r w:rsidR="00730549">
      <w:rPr>
        <w:sz w:val="20"/>
        <w:lang w:val="en-US"/>
      </w:rPr>
      <w:t>16</w:t>
    </w:r>
    <w:r w:rsidR="00D75DF9">
      <w:rPr>
        <w:sz w:val="20"/>
        <w:lang w:val="en-US"/>
      </w:rPr>
      <w:t>0</w:t>
    </w:r>
    <w:r w:rsidR="0059527D">
      <w:rPr>
        <w:sz w:val="20"/>
        <w:lang w:val="en-US"/>
      </w:rPr>
      <w:t>0</w:t>
    </w:r>
    <w:r w:rsidR="00730549">
      <w:rPr>
        <w:sz w:val="20"/>
        <w:lang w:val="en-US"/>
      </w:rPr>
      <w:t>403</w:t>
    </w:r>
    <w:r w:rsidRPr="00D36C43">
      <w:rPr>
        <w:sz w:val="20"/>
      </w:rPr>
      <w:t xml:space="preserve">     </w:t>
    </w:r>
    <w:r w:rsidR="00730549">
      <w:rPr>
        <w:sz w:val="20"/>
        <w:lang w:val="en-US"/>
      </w:rPr>
      <w:t xml:space="preserve"> </w:t>
    </w:r>
    <w:r w:rsidR="001E1362">
      <w:rPr>
        <w:sz w:val="20"/>
        <w:lang w:val="en-US"/>
      </w:rPr>
      <w:t>29</w:t>
    </w:r>
    <w:r w:rsidR="00D75DF9">
      <w:rPr>
        <w:sz w:val="20"/>
        <w:lang w:val="en-US"/>
      </w:rPr>
      <w:t>0</w:t>
    </w:r>
    <w:r w:rsidR="00730549">
      <w:rPr>
        <w:sz w:val="20"/>
        <w:lang w:val="en-US"/>
      </w:rPr>
      <w:t>3</w:t>
    </w:r>
    <w:r w:rsidR="0059527D">
      <w:rPr>
        <w:sz w:val="20"/>
        <w:lang w:val="en-US"/>
      </w:rPr>
      <w:t>1</w:t>
    </w:r>
    <w:r w:rsidR="00730549">
      <w:rPr>
        <w:sz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2B" w:rsidRPr="00F8342E" w:rsidRDefault="00577F2B" w:rsidP="00F8342E">
      <w:pPr>
        <w:ind w:left="624"/>
        <w:rPr>
          <w:sz w:val="20"/>
        </w:rPr>
      </w:pPr>
      <w:r w:rsidRPr="00F8342E">
        <w:rPr>
          <w:sz w:val="20"/>
        </w:rPr>
        <w:separator/>
      </w:r>
    </w:p>
  </w:footnote>
  <w:footnote w:type="continuationSeparator" w:id="0">
    <w:p w:rsidR="00577F2B" w:rsidRDefault="00577F2B">
      <w:r>
        <w:continuationSeparator/>
      </w:r>
    </w:p>
  </w:footnote>
  <w:footnote w:id="1">
    <w:p w:rsidR="00D02EFF" w:rsidRPr="008501E4" w:rsidRDefault="00D02EFF" w:rsidP="00F8342E">
      <w:pPr>
        <w:pStyle w:val="FootnoteText"/>
        <w:spacing w:before="20" w:after="40"/>
        <w:ind w:left="1247"/>
        <w:rPr>
          <w:sz w:val="18"/>
          <w:szCs w:val="18"/>
          <w:lang w:val="en-US"/>
        </w:rPr>
      </w:pPr>
      <w:r w:rsidRPr="00F8342E">
        <w:rPr>
          <w:rStyle w:val="FootnoteReference"/>
          <w:sz w:val="18"/>
          <w:szCs w:val="18"/>
        </w:rPr>
        <w:footnoteRef/>
      </w:r>
      <w:r w:rsidR="00F8342E" w:rsidRPr="008501E4">
        <w:rPr>
          <w:sz w:val="18"/>
          <w:szCs w:val="18"/>
          <w:lang w:val="en-US"/>
        </w:rPr>
        <w:tab/>
      </w:r>
      <w:proofErr w:type="gramStart"/>
      <w:r w:rsidRPr="00F8342E">
        <w:rPr>
          <w:sz w:val="18"/>
          <w:szCs w:val="18"/>
          <w:lang w:val="en-US"/>
        </w:rPr>
        <w:t xml:space="preserve">ST/SGB/2006/13, </w:t>
      </w:r>
      <w:r w:rsidRPr="00F8342E">
        <w:rPr>
          <w:sz w:val="18"/>
          <w:szCs w:val="18"/>
        </w:rPr>
        <w:t>разд</w:t>
      </w:r>
      <w:r w:rsidR="008501E4" w:rsidRPr="008501E4">
        <w:rPr>
          <w:sz w:val="18"/>
          <w:szCs w:val="18"/>
          <w:lang w:val="en-US"/>
        </w:rPr>
        <w:t>.</w:t>
      </w:r>
      <w:proofErr w:type="gramEnd"/>
      <w:r w:rsidRPr="00F8342E">
        <w:rPr>
          <w:sz w:val="18"/>
          <w:szCs w:val="18"/>
          <w:lang w:val="en-US"/>
        </w:rPr>
        <w:t xml:space="preserve"> 18.</w:t>
      </w:r>
    </w:p>
  </w:footnote>
  <w:footnote w:id="2">
    <w:p w:rsidR="00D02EFF" w:rsidRPr="001E1362" w:rsidRDefault="00D02EFF" w:rsidP="00F8342E">
      <w:pPr>
        <w:pStyle w:val="FootnoteText"/>
        <w:spacing w:before="20" w:after="40"/>
        <w:ind w:left="1247"/>
        <w:rPr>
          <w:sz w:val="18"/>
          <w:szCs w:val="18"/>
          <w:lang w:val="en-US"/>
        </w:rPr>
      </w:pPr>
      <w:r w:rsidRPr="00F8342E">
        <w:rPr>
          <w:rStyle w:val="FootnoteReference"/>
          <w:sz w:val="18"/>
          <w:szCs w:val="18"/>
        </w:rPr>
        <w:footnoteRef/>
      </w:r>
      <w:r w:rsidR="00F8342E" w:rsidRPr="00983A20">
        <w:rPr>
          <w:sz w:val="18"/>
          <w:szCs w:val="18"/>
          <w:lang w:val="en-US"/>
        </w:rPr>
        <w:tab/>
      </w:r>
      <w:proofErr w:type="gramStart"/>
      <w:r w:rsidRPr="00F8342E">
        <w:rPr>
          <w:sz w:val="18"/>
          <w:szCs w:val="18"/>
          <w:lang w:val="en-US"/>
        </w:rPr>
        <w:t>ST</w:t>
      </w:r>
      <w:r w:rsidRPr="00983A20">
        <w:rPr>
          <w:sz w:val="18"/>
          <w:szCs w:val="18"/>
          <w:lang w:val="en-US"/>
        </w:rPr>
        <w:t>/</w:t>
      </w:r>
      <w:r w:rsidRPr="00F8342E">
        <w:rPr>
          <w:sz w:val="18"/>
          <w:szCs w:val="18"/>
          <w:lang w:val="en-US"/>
        </w:rPr>
        <w:t>SGB</w:t>
      </w:r>
      <w:r w:rsidRPr="00983A20">
        <w:rPr>
          <w:sz w:val="18"/>
          <w:szCs w:val="18"/>
          <w:lang w:val="en-US"/>
        </w:rPr>
        <w:t xml:space="preserve">/1997/5, </w:t>
      </w:r>
      <w:r w:rsidRPr="00F8342E">
        <w:rPr>
          <w:sz w:val="18"/>
          <w:szCs w:val="18"/>
        </w:rPr>
        <w:t>разд</w:t>
      </w:r>
      <w:r w:rsidR="008501E4" w:rsidRPr="00983A20">
        <w:rPr>
          <w:sz w:val="18"/>
          <w:szCs w:val="18"/>
          <w:lang w:val="en-US"/>
        </w:rPr>
        <w:t>.</w:t>
      </w:r>
      <w:proofErr w:type="gramEnd"/>
      <w:r w:rsidRPr="00983A20">
        <w:rPr>
          <w:sz w:val="18"/>
          <w:szCs w:val="18"/>
          <w:lang w:val="en-US"/>
        </w:rPr>
        <w:t xml:space="preserve"> </w:t>
      </w:r>
      <w:r w:rsidRPr="001E1362">
        <w:rPr>
          <w:sz w:val="18"/>
          <w:szCs w:val="18"/>
          <w:lang w:val="en-US"/>
        </w:rPr>
        <w:t>3.</w:t>
      </w:r>
    </w:p>
  </w:footnote>
  <w:footnote w:id="3">
    <w:p w:rsidR="00223CEF" w:rsidRPr="00223CEF" w:rsidRDefault="00223CEF" w:rsidP="00223CEF">
      <w:pPr>
        <w:pStyle w:val="FootnoteText"/>
        <w:keepNext/>
        <w:keepLines/>
        <w:spacing w:before="20" w:after="40"/>
        <w:ind w:left="1247"/>
        <w:rPr>
          <w:sz w:val="18"/>
          <w:szCs w:val="18"/>
        </w:rPr>
      </w:pPr>
      <w:r w:rsidRPr="00223CEF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ab/>
      </w:r>
      <w:r w:rsidRPr="00223CEF">
        <w:rPr>
          <w:sz w:val="18"/>
          <w:szCs w:val="18"/>
        </w:rPr>
        <w:t>«ИнфорМЕА» является функционально совместим</w:t>
      </w:r>
      <w:r w:rsidR="007D10A7">
        <w:rPr>
          <w:sz w:val="18"/>
          <w:szCs w:val="18"/>
        </w:rPr>
        <w:t>ой информационной системой для С</w:t>
      </w:r>
      <w:r w:rsidRPr="00223CEF">
        <w:rPr>
          <w:sz w:val="18"/>
          <w:szCs w:val="18"/>
        </w:rPr>
        <w:t xml:space="preserve">торон многосторонних природоохранных соглашений и природоохранного сообщества в целом, в которой накапливаются решения и резолюции конференций сторон, информация о новостях, событиях, членском составе многосторонних природоохранных соглашений, национальных координаторах, национальных докладах и планах осуществления, поступающая от секретариатов таких соглашений. </w:t>
      </w:r>
      <w:r w:rsidR="007D10A7">
        <w:rPr>
          <w:sz w:val="18"/>
          <w:szCs w:val="18"/>
        </w:rPr>
        <w:t xml:space="preserve">См. </w:t>
      </w:r>
      <w:r w:rsidRPr="00223CEF">
        <w:rPr>
          <w:sz w:val="18"/>
          <w:szCs w:val="18"/>
        </w:rPr>
        <w:t xml:space="preserve">http://www.informea.org.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E16119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rPr>
        <w:b/>
        <w:sz w:val="18"/>
        <w:szCs w:val="18"/>
        <w:lang w:val="en-US"/>
      </w:rPr>
    </w:pPr>
    <w:r w:rsidRPr="007F485F">
      <w:rPr>
        <w:b/>
        <w:sz w:val="18"/>
        <w:szCs w:val="18"/>
        <w:lang w:val="en-US"/>
      </w:rPr>
      <w:t>UNEP/</w:t>
    </w:r>
    <w:r w:rsidR="0059527D"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1B6A71">
      <w:rPr>
        <w:b/>
        <w:sz w:val="18"/>
        <w:szCs w:val="18"/>
        <w:lang w:val="en-US"/>
      </w:rPr>
      <w:t>2/11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Pr="007F485F" w:rsidRDefault="0059527D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jc w:val="right"/>
      <w:rPr>
        <w:b/>
        <w:sz w:val="18"/>
        <w:szCs w:val="18"/>
        <w:lang w:val="en-US"/>
      </w:rPr>
    </w:pPr>
    <w:r w:rsidRPr="007F485F">
      <w:rPr>
        <w:b/>
        <w:sz w:val="18"/>
        <w:szCs w:val="18"/>
        <w:lang w:val="en-US"/>
      </w:rPr>
      <w:t>UNEP/</w:t>
    </w:r>
    <w:r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1B6A71">
      <w:rPr>
        <w:b/>
        <w:sz w:val="18"/>
        <w:szCs w:val="18"/>
        <w:lang w:val="en-US"/>
      </w:rPr>
      <w:t>2/11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9" w:rsidRDefault="00E1611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DDE"/>
    <w:multiLevelType w:val="singleLevel"/>
    <w:tmpl w:val="0FF0D03E"/>
    <w:lvl w:ilvl="0">
      <w:start w:val="2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C"/>
    <w:rsid w:val="00005168"/>
    <w:rsid w:val="00006499"/>
    <w:rsid w:val="00021671"/>
    <w:rsid w:val="00031B89"/>
    <w:rsid w:val="00050305"/>
    <w:rsid w:val="00054FFE"/>
    <w:rsid w:val="000B449C"/>
    <w:rsid w:val="000C0539"/>
    <w:rsid w:val="000C4053"/>
    <w:rsid w:val="000D2F6E"/>
    <w:rsid w:val="00121D62"/>
    <w:rsid w:val="00152A5D"/>
    <w:rsid w:val="00183959"/>
    <w:rsid w:val="00195739"/>
    <w:rsid w:val="001B1848"/>
    <w:rsid w:val="001B6A71"/>
    <w:rsid w:val="001E1362"/>
    <w:rsid w:val="001E35C4"/>
    <w:rsid w:val="00223CEF"/>
    <w:rsid w:val="00224AF6"/>
    <w:rsid w:val="00224D74"/>
    <w:rsid w:val="00266149"/>
    <w:rsid w:val="002818C2"/>
    <w:rsid w:val="002916EC"/>
    <w:rsid w:val="002B4E03"/>
    <w:rsid w:val="002B72F1"/>
    <w:rsid w:val="002D117C"/>
    <w:rsid w:val="003555DF"/>
    <w:rsid w:val="00390690"/>
    <w:rsid w:val="003A3071"/>
    <w:rsid w:val="003D4EDD"/>
    <w:rsid w:val="00413086"/>
    <w:rsid w:val="00433144"/>
    <w:rsid w:val="004356D8"/>
    <w:rsid w:val="00466EF5"/>
    <w:rsid w:val="00475B53"/>
    <w:rsid w:val="004A3F69"/>
    <w:rsid w:val="004A5547"/>
    <w:rsid w:val="004B4143"/>
    <w:rsid w:val="004B6705"/>
    <w:rsid w:val="004C6B84"/>
    <w:rsid w:val="00505C2E"/>
    <w:rsid w:val="00510EDA"/>
    <w:rsid w:val="005166F6"/>
    <w:rsid w:val="00531350"/>
    <w:rsid w:val="00537FDC"/>
    <w:rsid w:val="00550D89"/>
    <w:rsid w:val="00557BC6"/>
    <w:rsid w:val="00577F2B"/>
    <w:rsid w:val="005934D5"/>
    <w:rsid w:val="0059527D"/>
    <w:rsid w:val="005A6B25"/>
    <w:rsid w:val="005D379F"/>
    <w:rsid w:val="00625C29"/>
    <w:rsid w:val="00627AB8"/>
    <w:rsid w:val="00644CB8"/>
    <w:rsid w:val="00674F7D"/>
    <w:rsid w:val="0068583A"/>
    <w:rsid w:val="0069572B"/>
    <w:rsid w:val="006A6238"/>
    <w:rsid w:val="006B1FAB"/>
    <w:rsid w:val="006F3D6A"/>
    <w:rsid w:val="006F7336"/>
    <w:rsid w:val="007250E4"/>
    <w:rsid w:val="00730549"/>
    <w:rsid w:val="007377A4"/>
    <w:rsid w:val="00742814"/>
    <w:rsid w:val="00780088"/>
    <w:rsid w:val="00784732"/>
    <w:rsid w:val="007854DD"/>
    <w:rsid w:val="007D10A7"/>
    <w:rsid w:val="007E14FF"/>
    <w:rsid w:val="007E27C3"/>
    <w:rsid w:val="007F485F"/>
    <w:rsid w:val="008115ED"/>
    <w:rsid w:val="008230FA"/>
    <w:rsid w:val="00824C97"/>
    <w:rsid w:val="008501E4"/>
    <w:rsid w:val="008848BA"/>
    <w:rsid w:val="0089724A"/>
    <w:rsid w:val="008A2A50"/>
    <w:rsid w:val="008C39F4"/>
    <w:rsid w:val="008C4187"/>
    <w:rsid w:val="008F33E2"/>
    <w:rsid w:val="00903252"/>
    <w:rsid w:val="00905DB0"/>
    <w:rsid w:val="0092763D"/>
    <w:rsid w:val="00932B46"/>
    <w:rsid w:val="00983A20"/>
    <w:rsid w:val="009A25BE"/>
    <w:rsid w:val="009D4A87"/>
    <w:rsid w:val="009F1B6E"/>
    <w:rsid w:val="00A2332E"/>
    <w:rsid w:val="00A429B1"/>
    <w:rsid w:val="00A571FD"/>
    <w:rsid w:val="00A62187"/>
    <w:rsid w:val="00A73074"/>
    <w:rsid w:val="00A776D9"/>
    <w:rsid w:val="00A916E3"/>
    <w:rsid w:val="00AA4720"/>
    <w:rsid w:val="00AE5168"/>
    <w:rsid w:val="00AE7E0D"/>
    <w:rsid w:val="00B2052E"/>
    <w:rsid w:val="00B27290"/>
    <w:rsid w:val="00B61ADF"/>
    <w:rsid w:val="00B621D3"/>
    <w:rsid w:val="00B67663"/>
    <w:rsid w:val="00B70953"/>
    <w:rsid w:val="00B939CF"/>
    <w:rsid w:val="00BB0FB3"/>
    <w:rsid w:val="00BC53CC"/>
    <w:rsid w:val="00BD4D83"/>
    <w:rsid w:val="00BD7EDF"/>
    <w:rsid w:val="00C2288F"/>
    <w:rsid w:val="00C250F4"/>
    <w:rsid w:val="00C36DDC"/>
    <w:rsid w:val="00C4660D"/>
    <w:rsid w:val="00C56C4C"/>
    <w:rsid w:val="00C75451"/>
    <w:rsid w:val="00C76DE2"/>
    <w:rsid w:val="00C776AC"/>
    <w:rsid w:val="00C84EF5"/>
    <w:rsid w:val="00CB0BBB"/>
    <w:rsid w:val="00CD72BB"/>
    <w:rsid w:val="00CE7D9A"/>
    <w:rsid w:val="00D02EFF"/>
    <w:rsid w:val="00D0451C"/>
    <w:rsid w:val="00D04E33"/>
    <w:rsid w:val="00D12F17"/>
    <w:rsid w:val="00D15798"/>
    <w:rsid w:val="00D3440E"/>
    <w:rsid w:val="00D36C43"/>
    <w:rsid w:val="00D70CE8"/>
    <w:rsid w:val="00D75DF9"/>
    <w:rsid w:val="00D93D2D"/>
    <w:rsid w:val="00DA0367"/>
    <w:rsid w:val="00DA32CB"/>
    <w:rsid w:val="00DA6689"/>
    <w:rsid w:val="00E16119"/>
    <w:rsid w:val="00E22216"/>
    <w:rsid w:val="00E4388B"/>
    <w:rsid w:val="00E62042"/>
    <w:rsid w:val="00E66D62"/>
    <w:rsid w:val="00E8351F"/>
    <w:rsid w:val="00E92DCD"/>
    <w:rsid w:val="00ED0856"/>
    <w:rsid w:val="00EF4BA6"/>
    <w:rsid w:val="00EF5B47"/>
    <w:rsid w:val="00F32FF7"/>
    <w:rsid w:val="00F35E38"/>
    <w:rsid w:val="00F37347"/>
    <w:rsid w:val="00F72C94"/>
    <w:rsid w:val="00F82403"/>
    <w:rsid w:val="00F8342E"/>
    <w:rsid w:val="00F9510A"/>
    <w:rsid w:val="00FA4764"/>
    <w:rsid w:val="00FA6407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Geneva 9,Font: Geneva 9,Boston 10,f,DNV-FT,-E Fußnotentext,Fußnote,Fußnotentext Ursprung,ft,fn,Footnotes,Footnote ak,fn cafc,Footnotes Char Char,Footnote Text Char Char,fn Char Char,footnote text Char Char Char Ch,Footnote Text Cha"/>
    <w:basedOn w:val="Normal"/>
    <w:link w:val="FootnoteTextChar"/>
    <w:uiPriority w:val="99"/>
    <w:rPr>
      <w:sz w:val="20"/>
    </w:rPr>
  </w:style>
  <w:style w:type="character" w:styleId="FootnoteReference">
    <w:name w:val="footnote reference"/>
    <w:aliases w:val="ftref,16 Point,Superscript 6 Point,(Ref. de nota al pie),Footnote Reference1"/>
    <w:uiPriority w:val="99"/>
    <w:qFormat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-pool">
    <w:name w:val="Normal-pool"/>
    <w:link w:val="Normal-poolChar"/>
    <w:rsid w:val="00BB0FB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customStyle="1" w:styleId="Normal-poolChar">
    <w:name w:val="Normal-pool Char"/>
    <w:link w:val="Normal-pool"/>
    <w:locked/>
    <w:rsid w:val="00BB0FB3"/>
    <w:rPr>
      <w:lang w:val="en-GB"/>
    </w:rPr>
  </w:style>
  <w:style w:type="character" w:customStyle="1" w:styleId="FootnoteTextChar">
    <w:name w:val="Footnote Text Char"/>
    <w:aliases w:val="Geneva 9 Char,Font: Geneva 9 Char,Boston 10 Char,f Char,DNV-FT Char,-E Fußnotentext Char,Fußnote Char,Fußnotentext Ursprung Char,ft Char,fn Char,Footnotes Char,Footnote ak Char,fn cafc Char,Footnotes Char Char Char,fn Char Char Char"/>
    <w:link w:val="FootnoteText"/>
    <w:rsid w:val="00D02EFF"/>
    <w:rPr>
      <w:lang w:val="ru-RU"/>
    </w:rPr>
  </w:style>
  <w:style w:type="paragraph" w:styleId="BalloonText">
    <w:name w:val="Balloon Text"/>
    <w:basedOn w:val="Normal"/>
    <w:link w:val="BalloonTextChar"/>
    <w:rsid w:val="0018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5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Geneva 9,Font: Geneva 9,Boston 10,f,DNV-FT,-E Fußnotentext,Fußnote,Fußnotentext Ursprung,ft,fn,Footnotes,Footnote ak,fn cafc,Footnotes Char Char,Footnote Text Char Char,fn Char Char,footnote text Char Char Char Ch,Footnote Text Cha"/>
    <w:basedOn w:val="Normal"/>
    <w:link w:val="FootnoteTextChar"/>
    <w:uiPriority w:val="99"/>
    <w:rPr>
      <w:sz w:val="20"/>
    </w:rPr>
  </w:style>
  <w:style w:type="character" w:styleId="FootnoteReference">
    <w:name w:val="footnote reference"/>
    <w:aliases w:val="ftref,16 Point,Superscript 6 Point,(Ref. de nota al pie),Footnote Reference1"/>
    <w:uiPriority w:val="99"/>
    <w:qFormat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-pool">
    <w:name w:val="Normal-pool"/>
    <w:link w:val="Normal-poolChar"/>
    <w:rsid w:val="00BB0FB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customStyle="1" w:styleId="Normal-poolChar">
    <w:name w:val="Normal-pool Char"/>
    <w:link w:val="Normal-pool"/>
    <w:locked/>
    <w:rsid w:val="00BB0FB3"/>
    <w:rPr>
      <w:lang w:val="en-GB"/>
    </w:rPr>
  </w:style>
  <w:style w:type="character" w:customStyle="1" w:styleId="FootnoteTextChar">
    <w:name w:val="Footnote Text Char"/>
    <w:aliases w:val="Geneva 9 Char,Font: Geneva 9 Char,Boston 10 Char,f Char,DNV-FT Char,-E Fußnotentext Char,Fußnote Char,Fußnotentext Ursprung Char,ft Char,fn Char,Footnotes Char,Footnote ak Char,fn cafc Char,Footnotes Char Char Char,fn Char Char Char"/>
    <w:link w:val="FootnoteText"/>
    <w:rsid w:val="00D02EFF"/>
    <w:rPr>
      <w:lang w:val="ru-RU"/>
    </w:rPr>
  </w:style>
  <w:style w:type="paragraph" w:styleId="BalloonText">
    <w:name w:val="Balloon Text"/>
    <w:basedOn w:val="Normal"/>
    <w:link w:val="BalloonTextChar"/>
    <w:rsid w:val="0018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7E4D-B944-4534-AFD6-EBAEBFCD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14</Pages>
  <Words>8446</Words>
  <Characters>48146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UNEP/GC.27/</vt:lpstr>
    </vt:vector>
  </TitlesOfParts>
  <Manager>UNON</Manager>
  <Company>UNON</Company>
  <LinksUpToDate>false</LinksUpToDate>
  <CharactersWithSpaces>56480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UNEP/GC.27/</dc:title>
  <dc:creator>RLU</dc:creator>
  <cp:lastModifiedBy>John Njuguna</cp:lastModifiedBy>
  <cp:revision>2</cp:revision>
  <cp:lastPrinted>2016-03-13T11:54:00Z</cp:lastPrinted>
  <dcterms:created xsi:type="dcterms:W3CDTF">2016-04-12T14:15:00Z</dcterms:created>
  <dcterms:modified xsi:type="dcterms:W3CDTF">2016-04-12T14:15:00Z</dcterms:modified>
</cp:coreProperties>
</file>