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5292"/>
        <w:gridCol w:w="3106"/>
      </w:tblGrid>
      <w:tr w:rsidR="00BD4D83" w:rsidTr="00644CB8">
        <w:trPr>
          <w:cantSplit/>
          <w:jc w:val="center"/>
        </w:trPr>
        <w:tc>
          <w:tcPr>
            <w:tcW w:w="6533" w:type="dxa"/>
            <w:gridSpan w:val="2"/>
            <w:tcBorders>
              <w:bottom w:val="single" w:sz="8" w:space="0" w:color="auto"/>
            </w:tcBorders>
          </w:tcPr>
          <w:p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A776D9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:rsidR="00BD4D83" w:rsidRPr="00D04E33" w:rsidRDefault="00BD4D83">
            <w:pPr>
              <w:rPr>
                <w:b/>
                <w:sz w:val="32"/>
                <w:szCs w:val="32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06" w:type="dxa"/>
            <w:tcBorders>
              <w:bottom w:val="single" w:sz="8" w:space="0" w:color="auto"/>
            </w:tcBorders>
          </w:tcPr>
          <w:p w:rsidR="00BD4D83" w:rsidRPr="001B1848" w:rsidRDefault="00BD4D83" w:rsidP="00903252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 w:rsidRPr="001B1848">
              <w:rPr>
                <w:rFonts w:ascii="Arial" w:hAnsi="Arial" w:cs="Arial"/>
                <w:b/>
                <w:sz w:val="64"/>
                <w:szCs w:val="64"/>
                <w:lang w:val="en-US"/>
              </w:rPr>
              <w:t>EP</w:t>
            </w:r>
          </w:p>
          <w:p w:rsidR="00BD4D83" w:rsidRPr="00C41CC7" w:rsidRDefault="005A6B25" w:rsidP="00EB6729">
            <w:pPr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UNEP</w:t>
            </w:r>
            <w:r w:rsidRPr="00644CB8">
              <w:rPr>
                <w:sz w:val="20"/>
                <w:lang w:val="en-US"/>
              </w:rPr>
              <w:t>/</w:t>
            </w:r>
            <w:r w:rsidR="00C41CC7">
              <w:rPr>
                <w:sz w:val="20"/>
                <w:lang w:val="en-US"/>
              </w:rPr>
              <w:t>EA.2</w:t>
            </w:r>
            <w:r w:rsidR="00644CB8">
              <w:rPr>
                <w:sz w:val="20"/>
                <w:lang w:val="en-US"/>
              </w:rPr>
              <w:t>/</w:t>
            </w:r>
            <w:r w:rsidR="00DA5A61">
              <w:rPr>
                <w:sz w:val="20"/>
                <w:lang w:val="en-US"/>
              </w:rPr>
              <w:t>9</w:t>
            </w:r>
          </w:p>
        </w:tc>
      </w:tr>
      <w:tr w:rsidR="00BD4D83" w:rsidRPr="00CD46AF" w:rsidTr="00644CB8">
        <w:trPr>
          <w:cantSplit/>
          <w:trHeight w:val="20"/>
          <w:jc w:val="center"/>
        </w:trPr>
        <w:tc>
          <w:tcPr>
            <w:tcW w:w="1241" w:type="dxa"/>
          </w:tcPr>
          <w:p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5292" w:type="dxa"/>
          </w:tcPr>
          <w:p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3106" w:type="dxa"/>
            <w:vMerge w:val="restart"/>
          </w:tcPr>
          <w:p w:rsidR="00BD4D83" w:rsidRPr="00B939CF" w:rsidRDefault="00BD4D83" w:rsidP="001B1848">
            <w:pPr>
              <w:rPr>
                <w:sz w:val="20"/>
                <w:lang w:val="en-US"/>
              </w:rPr>
            </w:pPr>
          </w:p>
          <w:p w:rsidR="00BD4D83" w:rsidRPr="00B939CF" w:rsidRDefault="00BD4D83" w:rsidP="001B1848">
            <w:pPr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Distr.:</w:t>
            </w:r>
            <w:r w:rsidR="00C56C4C" w:rsidRPr="00B939CF">
              <w:rPr>
                <w:sz w:val="20"/>
                <w:lang w:val="en-US"/>
              </w:rPr>
              <w:t xml:space="preserve"> </w:t>
            </w:r>
            <w:r w:rsidRPr="00B939CF">
              <w:rPr>
                <w:sz w:val="20"/>
                <w:lang w:val="en-US"/>
              </w:rPr>
              <w:t>General</w:t>
            </w:r>
          </w:p>
          <w:p w:rsidR="00BD4D83" w:rsidRPr="00644CB8" w:rsidRDefault="00DA5A61" w:rsidP="001B184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625C29" w:rsidRPr="00B939CF">
              <w:rPr>
                <w:sz w:val="20"/>
                <w:lang w:val="en-US"/>
              </w:rPr>
              <w:t xml:space="preserve"> </w:t>
            </w:r>
            <w:r w:rsidR="00C41CC7">
              <w:rPr>
                <w:sz w:val="20"/>
                <w:lang w:val="en-US"/>
              </w:rPr>
              <w:t xml:space="preserve">March </w:t>
            </w:r>
            <w:r w:rsidR="005A6B25">
              <w:rPr>
                <w:sz w:val="20"/>
                <w:lang w:val="en-US"/>
              </w:rPr>
              <w:t>201</w:t>
            </w:r>
            <w:r w:rsidR="00C41CC7">
              <w:rPr>
                <w:sz w:val="20"/>
                <w:lang w:val="en-US"/>
              </w:rPr>
              <w:t>6</w:t>
            </w:r>
          </w:p>
          <w:p w:rsidR="00BD4D83" w:rsidRPr="00B939CF" w:rsidRDefault="00BD4D83" w:rsidP="001B1848">
            <w:pPr>
              <w:rPr>
                <w:sz w:val="20"/>
                <w:lang w:val="en-US"/>
              </w:rPr>
            </w:pPr>
          </w:p>
          <w:p w:rsidR="00BD4D83" w:rsidRPr="00B939CF" w:rsidRDefault="00BD4D83" w:rsidP="001B1848">
            <w:pPr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Russian</w:t>
            </w:r>
          </w:p>
          <w:p w:rsidR="00BD4D83" w:rsidRPr="00644CB8" w:rsidRDefault="00C4660D" w:rsidP="001B184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Original: </w:t>
            </w:r>
            <w:r w:rsidR="00BD4D83" w:rsidRPr="00B939CF">
              <w:rPr>
                <w:sz w:val="20"/>
                <w:lang w:val="en-US"/>
              </w:rPr>
              <w:t>English</w:t>
            </w:r>
          </w:p>
        </w:tc>
      </w:tr>
      <w:tr w:rsidR="00BD4D83" w:rsidTr="00644CB8">
        <w:trPr>
          <w:cantSplit/>
          <w:jc w:val="center"/>
        </w:trPr>
        <w:tc>
          <w:tcPr>
            <w:tcW w:w="1241" w:type="dxa"/>
          </w:tcPr>
          <w:p w:rsidR="00BD4D83" w:rsidRDefault="00BB4D0A">
            <w:pPr>
              <w:rPr>
                <w:sz w:val="1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50875" cy="563245"/>
                  <wp:effectExtent l="0" t="0" r="0" b="8255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 w:val="restart"/>
          </w:tcPr>
          <w:p w:rsidR="00BD4D83" w:rsidRPr="00A776D9" w:rsidRDefault="00BD4D83">
            <w:pPr>
              <w:rPr>
                <w:rFonts w:ascii="Arial" w:hAnsi="Arial" w:cs="Arial"/>
                <w:b/>
                <w:lang w:val="en-US"/>
              </w:rPr>
            </w:pPr>
          </w:p>
          <w:p w:rsidR="00A776D9" w:rsidRP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:rsid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:rsidR="009F1B6E" w:rsidRPr="00A776D9" w:rsidRDefault="009F1B6E">
            <w:pPr>
              <w:rPr>
                <w:rFonts w:ascii="Arial" w:hAnsi="Arial" w:cs="Arial"/>
                <w:b/>
                <w:lang w:val="en-US"/>
              </w:rPr>
            </w:pPr>
          </w:p>
          <w:p w:rsidR="00BD4D83" w:rsidRPr="00644CB8" w:rsidRDefault="00644CB8" w:rsidP="008F394C">
            <w:pPr>
              <w:spacing w:after="120"/>
              <w:rPr>
                <w:rFonts w:ascii="Arial" w:hAnsi="Arial" w:cs="Arial"/>
                <w:b/>
                <w:sz w:val="27"/>
                <w:szCs w:val="27"/>
              </w:rPr>
            </w:pPr>
            <w:r w:rsidRPr="00644CB8">
              <w:rPr>
                <w:rFonts w:ascii="Arial" w:hAnsi="Arial" w:cs="Arial"/>
                <w:b/>
                <w:sz w:val="28"/>
                <w:szCs w:val="28"/>
              </w:rPr>
              <w:t>Ассамблея</w:t>
            </w:r>
            <w:r w:rsidRPr="005165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Организации</w:t>
            </w:r>
            <w:r w:rsidRPr="005165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Объединенных</w:t>
            </w:r>
            <w:r w:rsidRPr="005165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Наций</w:t>
            </w:r>
            <w:r w:rsidRPr="005165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по</w:t>
            </w:r>
            <w:r w:rsidRPr="005165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окружающей</w:t>
            </w:r>
            <w:r w:rsidRPr="005165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 xml:space="preserve">среде Программы Организации Объединенных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br/>
              <w:t>Наций по окружающей среде</w:t>
            </w:r>
          </w:p>
        </w:tc>
        <w:tc>
          <w:tcPr>
            <w:tcW w:w="3106" w:type="dxa"/>
            <w:vMerge/>
          </w:tcPr>
          <w:p w:rsidR="00BD4D83" w:rsidRDefault="00BD4D83"/>
        </w:tc>
      </w:tr>
      <w:tr w:rsidR="00BD4D83" w:rsidTr="00644CB8">
        <w:trPr>
          <w:cantSplit/>
          <w:trHeight w:val="20"/>
          <w:jc w:val="center"/>
        </w:trPr>
        <w:tc>
          <w:tcPr>
            <w:tcW w:w="1241" w:type="dxa"/>
          </w:tcPr>
          <w:p w:rsidR="00BD4D83" w:rsidRDefault="00BD4D83">
            <w:pPr>
              <w:rPr>
                <w:sz w:val="16"/>
              </w:rPr>
            </w:pPr>
          </w:p>
        </w:tc>
        <w:tc>
          <w:tcPr>
            <w:tcW w:w="5292" w:type="dxa"/>
            <w:vMerge/>
          </w:tcPr>
          <w:p w:rsidR="00BD4D83" w:rsidRDefault="00BD4D83">
            <w:pPr>
              <w:rPr>
                <w:b/>
                <w:sz w:val="28"/>
              </w:rPr>
            </w:pPr>
          </w:p>
        </w:tc>
        <w:tc>
          <w:tcPr>
            <w:tcW w:w="3106" w:type="dxa"/>
            <w:vMerge/>
          </w:tcPr>
          <w:p w:rsidR="00BD4D83" w:rsidRDefault="00BD4D83"/>
        </w:tc>
      </w:tr>
      <w:tr w:rsidR="00BD4D83" w:rsidTr="00644CB8">
        <w:trPr>
          <w:cantSplit/>
          <w:trHeight w:val="962"/>
          <w:jc w:val="center"/>
        </w:trPr>
        <w:tc>
          <w:tcPr>
            <w:tcW w:w="1241" w:type="dxa"/>
            <w:tcBorders>
              <w:bottom w:val="single" w:sz="24" w:space="0" w:color="auto"/>
            </w:tcBorders>
          </w:tcPr>
          <w:p w:rsidR="00BD4D83" w:rsidRDefault="00BD4D83">
            <w:pPr>
              <w:rPr>
                <w:lang w:val="en-US"/>
              </w:rPr>
            </w:pPr>
            <w:r>
              <w:object w:dxaOrig="1020" w:dyaOrig="1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35pt;height:45.5pt" o:ole="" fillcolor="window">
                  <v:imagedata r:id="rId10" o:title="" cropbottom="13140f"/>
                </v:shape>
                <o:OLEObject Type="Embed" ProgID="Word.Picture.8" ShapeID="_x0000_i1025" DrawAspect="Content" ObjectID="_1523366170" r:id="rId11"/>
              </w:object>
            </w:r>
          </w:p>
        </w:tc>
        <w:tc>
          <w:tcPr>
            <w:tcW w:w="5292" w:type="dxa"/>
            <w:vMerge/>
            <w:tcBorders>
              <w:bottom w:val="single" w:sz="24" w:space="0" w:color="auto"/>
            </w:tcBorders>
          </w:tcPr>
          <w:p w:rsidR="00BD4D83" w:rsidRDefault="00BD4D83"/>
        </w:tc>
        <w:tc>
          <w:tcPr>
            <w:tcW w:w="3106" w:type="dxa"/>
            <w:vMerge/>
            <w:tcBorders>
              <w:bottom w:val="single" w:sz="24" w:space="0" w:color="auto"/>
            </w:tcBorders>
          </w:tcPr>
          <w:p w:rsidR="00BD4D83" w:rsidRDefault="00BD4D83"/>
        </w:tc>
      </w:tr>
    </w:tbl>
    <w:p w:rsidR="00BD4D83" w:rsidRDefault="00BD4D83">
      <w:pPr>
        <w:sectPr w:rsidR="00BD4D83" w:rsidSect="00B205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pgSz w:w="11906" w:h="16838" w:code="9"/>
          <w:pgMar w:top="561" w:right="851" w:bottom="1440" w:left="1440" w:header="851" w:footer="720" w:gutter="0"/>
          <w:cols w:space="720"/>
          <w:titlePg/>
        </w:sectPr>
      </w:pPr>
    </w:p>
    <w:p w:rsidR="00BD4D83" w:rsidRPr="00516592" w:rsidRDefault="0059527D">
      <w:pPr>
        <w:rPr>
          <w:b/>
          <w:sz w:val="20"/>
        </w:rPr>
      </w:pPr>
      <w:r w:rsidRPr="0059527D">
        <w:rPr>
          <w:b/>
          <w:sz w:val="20"/>
        </w:rPr>
        <w:lastRenderedPageBreak/>
        <w:t xml:space="preserve">Ассамблея Организации Объединенных Наций </w:t>
      </w:r>
      <w:r w:rsidRPr="0059527D">
        <w:rPr>
          <w:b/>
          <w:sz w:val="20"/>
        </w:rPr>
        <w:br/>
        <w:t xml:space="preserve">по окружающей среде Программы Организации </w:t>
      </w:r>
      <w:r w:rsidRPr="0059527D">
        <w:rPr>
          <w:b/>
          <w:sz w:val="20"/>
        </w:rPr>
        <w:br/>
        <w:t>Объединенных Наций по окружающей среде</w:t>
      </w:r>
    </w:p>
    <w:p w:rsidR="0059527D" w:rsidRPr="0059527D" w:rsidRDefault="00C41CC7">
      <w:pPr>
        <w:rPr>
          <w:b/>
          <w:sz w:val="20"/>
        </w:rPr>
      </w:pPr>
      <w:r>
        <w:rPr>
          <w:b/>
          <w:sz w:val="20"/>
        </w:rPr>
        <w:t xml:space="preserve">Вторая </w:t>
      </w:r>
      <w:r w:rsidR="0059527D">
        <w:rPr>
          <w:b/>
          <w:sz w:val="20"/>
        </w:rPr>
        <w:t>сессия</w:t>
      </w:r>
    </w:p>
    <w:p w:rsidR="00BD4D83" w:rsidRPr="00B7779A" w:rsidRDefault="00C84EF5" w:rsidP="00E50824">
      <w:pPr>
        <w:spacing w:after="60"/>
        <w:rPr>
          <w:sz w:val="20"/>
        </w:rPr>
      </w:pPr>
      <w:r w:rsidRPr="0059527D">
        <w:rPr>
          <w:sz w:val="20"/>
        </w:rPr>
        <w:t>Найроби</w:t>
      </w:r>
      <w:r w:rsidR="00D15798" w:rsidRPr="0059527D">
        <w:rPr>
          <w:sz w:val="20"/>
        </w:rPr>
        <w:t xml:space="preserve">, </w:t>
      </w:r>
      <w:r w:rsidR="0059527D">
        <w:rPr>
          <w:sz w:val="20"/>
        </w:rPr>
        <w:t>23</w:t>
      </w:r>
      <w:r w:rsidRPr="0059527D">
        <w:rPr>
          <w:sz w:val="20"/>
        </w:rPr>
        <w:t>-</w:t>
      </w:r>
      <w:r w:rsidR="00D15798" w:rsidRPr="0059527D">
        <w:rPr>
          <w:sz w:val="20"/>
        </w:rPr>
        <w:t>2</w:t>
      </w:r>
      <w:r w:rsidR="0059527D">
        <w:rPr>
          <w:sz w:val="20"/>
        </w:rPr>
        <w:t>7</w:t>
      </w:r>
      <w:r w:rsidR="00537FDC" w:rsidRPr="0059527D">
        <w:rPr>
          <w:sz w:val="20"/>
        </w:rPr>
        <w:t xml:space="preserve"> </w:t>
      </w:r>
      <w:r w:rsidR="00C41CC7">
        <w:rPr>
          <w:sz w:val="20"/>
        </w:rPr>
        <w:t xml:space="preserve">мая </w:t>
      </w:r>
      <w:r w:rsidR="00BD4D83" w:rsidRPr="0059527D">
        <w:rPr>
          <w:sz w:val="20"/>
        </w:rPr>
        <w:t>20</w:t>
      </w:r>
      <w:r w:rsidR="00D15798" w:rsidRPr="0059527D">
        <w:rPr>
          <w:sz w:val="20"/>
        </w:rPr>
        <w:t>1</w:t>
      </w:r>
      <w:r w:rsidR="00C41CC7">
        <w:rPr>
          <w:sz w:val="20"/>
        </w:rPr>
        <w:t>6</w:t>
      </w:r>
      <w:r w:rsidR="00BD4D83" w:rsidRPr="0059527D">
        <w:rPr>
          <w:sz w:val="20"/>
        </w:rPr>
        <w:t xml:space="preserve"> года</w:t>
      </w:r>
    </w:p>
    <w:p w:rsidR="00DA5A61" w:rsidRDefault="001C0D62" w:rsidP="00E50824">
      <w:pPr>
        <w:spacing w:after="120"/>
        <w:rPr>
          <w:sz w:val="20"/>
        </w:rPr>
      </w:pPr>
      <w:r w:rsidRPr="001C0D62">
        <w:rPr>
          <w:sz w:val="20"/>
        </w:rPr>
        <w:t xml:space="preserve">Пункт </w:t>
      </w:r>
      <w:r w:rsidR="0050288D" w:rsidRPr="0050288D">
        <w:rPr>
          <w:sz w:val="20"/>
        </w:rPr>
        <w:t xml:space="preserve">4 </w:t>
      </w:r>
      <w:r w:rsidR="0050288D">
        <w:rPr>
          <w:sz w:val="20"/>
          <w:lang w:val="en-US"/>
        </w:rPr>
        <w:t>h</w:t>
      </w:r>
      <w:r w:rsidR="0050288D">
        <w:rPr>
          <w:sz w:val="20"/>
        </w:rPr>
        <w:t xml:space="preserve">) </w:t>
      </w:r>
      <w:r w:rsidRPr="001C0D62">
        <w:rPr>
          <w:sz w:val="20"/>
        </w:rPr>
        <w:t>предварительной повестки дня</w:t>
      </w:r>
      <w:r w:rsidR="000914C9" w:rsidRPr="000914C9">
        <w:rPr>
          <w:sz w:val="20"/>
        </w:rPr>
        <w:t>*</w:t>
      </w:r>
    </w:p>
    <w:p w:rsidR="0050288D" w:rsidRPr="00EB6213" w:rsidRDefault="0050288D" w:rsidP="00EB6213">
      <w:pPr>
        <w:spacing w:after="120"/>
        <w:ind w:right="1701"/>
        <w:rPr>
          <w:b/>
          <w:sz w:val="20"/>
        </w:rPr>
      </w:pPr>
      <w:r w:rsidRPr="00EB6213">
        <w:rPr>
          <w:b/>
          <w:sz w:val="20"/>
        </w:rPr>
        <w:t>Вопросы международной природоохранной политики и экологического руководства: устойчивое развитие и искоренение нищеты</w:t>
      </w:r>
    </w:p>
    <w:p w:rsidR="00E50824" w:rsidRPr="00D05EC2" w:rsidRDefault="00E50824" w:rsidP="00D05EC2">
      <w:pPr>
        <w:spacing w:before="320" w:after="240"/>
        <w:ind w:left="1247" w:right="567"/>
        <w:rPr>
          <w:b/>
          <w:sz w:val="28"/>
          <w:szCs w:val="28"/>
        </w:rPr>
      </w:pPr>
      <w:r w:rsidRPr="00D05EC2">
        <w:rPr>
          <w:b/>
          <w:sz w:val="28"/>
          <w:szCs w:val="28"/>
        </w:rPr>
        <w:t>Резолюция 1/10: Различные концепции, подходы, модели и инструменты для достижения экологической устойчивости в контексте устойчивого развития и искоренения нищеты</w:t>
      </w:r>
    </w:p>
    <w:p w:rsidR="00E50824" w:rsidRPr="00D05EC2" w:rsidRDefault="00E50824" w:rsidP="00E50824">
      <w:pPr>
        <w:spacing w:after="120"/>
        <w:ind w:left="1247"/>
        <w:rPr>
          <w:b/>
          <w:sz w:val="24"/>
          <w:szCs w:val="24"/>
        </w:rPr>
      </w:pPr>
      <w:r w:rsidRPr="00D05EC2">
        <w:rPr>
          <w:b/>
          <w:sz w:val="24"/>
          <w:szCs w:val="24"/>
        </w:rPr>
        <w:tab/>
        <w:t>Доклад Директора-исполнителя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E50824" w:rsidRPr="0024658D" w:rsidTr="009373BD">
        <w:tc>
          <w:tcPr>
            <w:tcW w:w="9531" w:type="dxa"/>
            <w:shd w:val="clear" w:color="auto" w:fill="auto"/>
          </w:tcPr>
          <w:p w:rsidR="00E50824" w:rsidRPr="00AA5056" w:rsidRDefault="00E50824" w:rsidP="00D05EC2">
            <w:pPr>
              <w:spacing w:after="120"/>
              <w:rPr>
                <w:i/>
                <w:sz w:val="20"/>
              </w:rPr>
            </w:pPr>
            <w:r w:rsidRPr="00AA5056">
              <w:rPr>
                <w:i/>
                <w:sz w:val="20"/>
              </w:rPr>
              <w:t>Резюме</w:t>
            </w:r>
          </w:p>
          <w:p w:rsidR="00E50824" w:rsidRPr="00AA5056" w:rsidRDefault="00E50824" w:rsidP="009373BD">
            <w:pPr>
              <w:spacing w:after="120"/>
              <w:ind w:left="1247" w:firstLine="624"/>
              <w:rPr>
                <w:sz w:val="20"/>
              </w:rPr>
            </w:pPr>
            <w:r w:rsidRPr="00AA5056">
              <w:rPr>
                <w:sz w:val="20"/>
              </w:rPr>
              <w:t xml:space="preserve">Настоящий доклад был подготовлен во исполнение резолюции 1/10 Ассамблеи Организации Объединенных Наций по окружающей среде, касающейся различных концепций, подходов, моделей и инструментов для достижения экологической устойчивости в контексте устойчивого развития и искоренения нищеты, в которой Директору-исполнителю Программы Организации Объединенных Наций по окружающей среде (ЮНЕП) было предложено представить доклад об усилиях ЮНЕП по сбору и обмену информацией о различных концепциях, подходах, моделях и инструментах, разработанных государствами-членами Организации Объединенных Наций для достижения устойчивого развития. Резолюция 1/10 опирается на итоговый доклад Конференции Организации Объединенных Наций по устойчивому развитию, озаглавленный «Будущее, которого мы хотим», и решение 27/8 Совета управляющих от 22 февраля 2013 года, касающееся «зеленой» экономики в контексте устойчивого развития и искоренения нищеты, в которых подчеркивается многообразие подходов к обеспечению экологической устойчивости. </w:t>
            </w:r>
          </w:p>
          <w:p w:rsidR="00E50824" w:rsidRPr="0024658D" w:rsidRDefault="00E50824" w:rsidP="009373BD">
            <w:pPr>
              <w:spacing w:after="120"/>
              <w:ind w:left="1247" w:firstLine="624"/>
            </w:pPr>
            <w:r w:rsidRPr="00AA5056">
              <w:rPr>
                <w:sz w:val="20"/>
              </w:rPr>
              <w:t>В докладе содержится резюме усилий ЮНЕП по сбору и документированию различных подходов, существующих во всем мире, и обзор соответствующей работы ЮНЕП по оказанию поддержки государствам-членам. В соответствии с пунктом 2 резолюции 1/10 собранная ЮНЕП информация и главные выводы, сделанные на основе ее анализа, лягут в основу предлагаемого семинара-практикума и «ярмарки идей», которые состоятся в ходе второй сессии Ассамблеи Организации Объединенных Наций по окружающей среде в мае 2016 года и на которых можно будет обменяться мнениями о различных концепциях, подходах, моделях и инструментах для достижения экологической устойчивости.</w:t>
            </w:r>
          </w:p>
        </w:tc>
      </w:tr>
    </w:tbl>
    <w:p w:rsidR="008A41C5" w:rsidRDefault="00E50824" w:rsidP="008A41C5">
      <w:pPr>
        <w:spacing w:after="120"/>
        <w:ind w:left="1247"/>
        <w:rPr>
          <w:sz w:val="20"/>
        </w:rPr>
      </w:pPr>
      <w:r w:rsidRPr="00AA5056">
        <w:rPr>
          <w:sz w:val="20"/>
        </w:rPr>
        <w:tab/>
      </w:r>
      <w:r w:rsidR="008A41C5">
        <w:rPr>
          <w:sz w:val="20"/>
        </w:rPr>
        <w:br w:type="page"/>
      </w:r>
    </w:p>
    <w:p w:rsidR="00E50824" w:rsidRPr="00771C30" w:rsidRDefault="00771C30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B7779A">
        <w:rPr>
          <w:b/>
          <w:sz w:val="28"/>
          <w:szCs w:val="28"/>
        </w:rPr>
        <w:lastRenderedPageBreak/>
        <w:tab/>
      </w:r>
      <w:r w:rsidR="00E50824" w:rsidRPr="00771C30">
        <w:rPr>
          <w:b/>
          <w:sz w:val="28"/>
          <w:szCs w:val="28"/>
        </w:rPr>
        <w:t>I.</w:t>
      </w:r>
      <w:r w:rsidR="00E50824" w:rsidRPr="00771C30">
        <w:rPr>
          <w:b/>
          <w:sz w:val="28"/>
          <w:szCs w:val="28"/>
        </w:rPr>
        <w:tab/>
        <w:t>Введение</w:t>
      </w:r>
    </w:p>
    <w:p w:rsidR="00E50824" w:rsidRPr="00AA5056" w:rsidRDefault="00771C30" w:rsidP="008A41C5">
      <w:pPr>
        <w:spacing w:after="120"/>
        <w:ind w:left="1247"/>
        <w:rPr>
          <w:sz w:val="20"/>
        </w:rPr>
      </w:pPr>
      <w:r w:rsidRPr="00771C30">
        <w:rPr>
          <w:sz w:val="20"/>
        </w:rPr>
        <w:t>1.</w:t>
      </w:r>
      <w:r w:rsidRPr="00771C30">
        <w:rPr>
          <w:sz w:val="20"/>
        </w:rPr>
        <w:tab/>
      </w:r>
      <w:r w:rsidR="00E50824" w:rsidRPr="00AA5056">
        <w:rPr>
          <w:sz w:val="20"/>
        </w:rPr>
        <w:t xml:space="preserve">В 2013 году Совет управляющих Программы Организации Объединенных Наций по окружающей среде (ЮНЕП) в своем решении 27/8 о «зеленой» экономике в контексте устойчивого развития и искоренения нищеты признал наличие различных путей достижения устойчивого развития и в пункте 3 </w:t>
      </w:r>
      <w:r w:rsidR="00730A4C">
        <w:rPr>
          <w:sz w:val="20"/>
        </w:rPr>
        <w:t xml:space="preserve">решения </w:t>
      </w:r>
      <w:r w:rsidR="00E50824" w:rsidRPr="00AA5056">
        <w:rPr>
          <w:sz w:val="20"/>
        </w:rPr>
        <w:t xml:space="preserve">просил Директора-исполнителя ЮНЕП провести сбор материалов о таких инициативах, начинаниях, видах практики и опыте, в том что касается различных </w:t>
      </w:r>
      <w:r w:rsidR="0050288D" w:rsidRPr="00AA5056">
        <w:rPr>
          <w:sz w:val="20"/>
        </w:rPr>
        <w:t xml:space="preserve">концепций, </w:t>
      </w:r>
      <w:r w:rsidR="00E50824" w:rsidRPr="00AA5056">
        <w:rPr>
          <w:sz w:val="20"/>
        </w:rPr>
        <w:t>подходов, моделей и инструментов, в том числе в отношении «зеленой» экономики в контексте устойчивого развития и искоренения нищеты, и распространить их, а также содействовать обмену информацией между странами, с тем чтобы оказать поддержку их усилия</w:t>
      </w:r>
      <w:r w:rsidR="0050288D">
        <w:rPr>
          <w:sz w:val="20"/>
        </w:rPr>
        <w:t>м</w:t>
      </w:r>
      <w:r w:rsidR="00E50824" w:rsidRPr="00AA5056">
        <w:rPr>
          <w:sz w:val="20"/>
        </w:rPr>
        <w:t>, способствующи</w:t>
      </w:r>
      <w:r w:rsidR="0050288D">
        <w:rPr>
          <w:sz w:val="20"/>
        </w:rPr>
        <w:t>м</w:t>
      </w:r>
      <w:r w:rsidR="00E50824" w:rsidRPr="00AA5056">
        <w:rPr>
          <w:sz w:val="20"/>
        </w:rPr>
        <w:t xml:space="preserve"> достижению целей устойчивого развития и искоренения нищеты.</w:t>
      </w:r>
    </w:p>
    <w:p w:rsidR="00E50824" w:rsidRPr="00AA5056" w:rsidRDefault="00771C30" w:rsidP="00E50824">
      <w:pPr>
        <w:spacing w:after="120"/>
        <w:ind w:left="1247"/>
        <w:rPr>
          <w:sz w:val="20"/>
        </w:rPr>
      </w:pPr>
      <w:r w:rsidRPr="00771C30">
        <w:rPr>
          <w:sz w:val="20"/>
        </w:rPr>
        <w:t>2.</w:t>
      </w:r>
      <w:r w:rsidRPr="00771C30">
        <w:rPr>
          <w:sz w:val="20"/>
        </w:rPr>
        <w:tab/>
      </w:r>
      <w:r w:rsidR="00E50824" w:rsidRPr="00AA5056">
        <w:rPr>
          <w:sz w:val="20"/>
        </w:rPr>
        <w:t xml:space="preserve">В 2014 году Ассамблея Организации Объединенных Наций по окружающей среде приняла резолюцию 1/10 о различных концепциях, подходах, моделях и инструментах для достижения экологической устойчивости в контексте устойчивого развития и искоренения нищеты, в которой она </w:t>
      </w:r>
      <w:r w:rsidR="0050288D">
        <w:rPr>
          <w:sz w:val="20"/>
        </w:rPr>
        <w:t>приветствовала</w:t>
      </w:r>
      <w:r w:rsidR="00E50824" w:rsidRPr="00AA5056">
        <w:rPr>
          <w:sz w:val="20"/>
        </w:rPr>
        <w:t xml:space="preserve"> итоговый документ «Будущее, которого мы хотим» Конференции Организации Объединенных Наций по устойчивому развитию и </w:t>
      </w:r>
      <w:r w:rsidR="0050288D">
        <w:rPr>
          <w:sz w:val="20"/>
        </w:rPr>
        <w:t xml:space="preserve">приняла к сведению пункт 2 </w:t>
      </w:r>
      <w:r w:rsidR="00E50824" w:rsidRPr="00AA5056">
        <w:rPr>
          <w:sz w:val="20"/>
        </w:rPr>
        <w:t>решени</w:t>
      </w:r>
      <w:r w:rsidR="0050288D">
        <w:rPr>
          <w:sz w:val="20"/>
        </w:rPr>
        <w:t>я</w:t>
      </w:r>
      <w:r w:rsidR="00E50824" w:rsidRPr="00AA5056">
        <w:rPr>
          <w:sz w:val="20"/>
        </w:rPr>
        <w:t xml:space="preserve"> 27/8 Совета управляющих, в частности</w:t>
      </w:r>
      <w:r w:rsidR="00A7292F">
        <w:rPr>
          <w:sz w:val="20"/>
        </w:rPr>
        <w:t>, сославшись на указанное в этих документах</w:t>
      </w:r>
      <w:r w:rsidR="00E50824" w:rsidRPr="00AA5056">
        <w:rPr>
          <w:sz w:val="20"/>
        </w:rPr>
        <w:t xml:space="preserve"> многообрази</w:t>
      </w:r>
      <w:r w:rsidR="00A7292F">
        <w:rPr>
          <w:sz w:val="20"/>
        </w:rPr>
        <w:t>е</w:t>
      </w:r>
      <w:r w:rsidR="00E50824" w:rsidRPr="00AA5056">
        <w:rPr>
          <w:sz w:val="20"/>
        </w:rPr>
        <w:t xml:space="preserve"> путей достижения устойчивого развития и искоренения нищеты. В этой резолюции был сделан особый </w:t>
      </w:r>
      <w:r w:rsidR="00A7292F">
        <w:rPr>
          <w:sz w:val="20"/>
        </w:rPr>
        <w:t>акцент</w:t>
      </w:r>
      <w:r w:rsidR="00E50824" w:rsidRPr="00AA5056">
        <w:rPr>
          <w:sz w:val="20"/>
        </w:rPr>
        <w:t xml:space="preserve"> на подходе, предусматривающем создание благоприятных условий для жизни в балансе и гармонии с Матерью-землей, в качестве целостного и комплексного подхода к достижению целей устойчивого развития, и было</w:t>
      </w:r>
      <w:r w:rsidR="00A7292F">
        <w:rPr>
          <w:sz w:val="20"/>
        </w:rPr>
        <w:t xml:space="preserve"> также </w:t>
      </w:r>
      <w:r w:rsidR="00E50824" w:rsidRPr="00AA5056">
        <w:rPr>
          <w:sz w:val="20"/>
        </w:rPr>
        <w:t xml:space="preserve">отмечено, что выражение «Мать-Земля» широко распространено в ряде стран и регионов и что рядом стран признаются права природы в контексте поощрения устойчивого развития. </w:t>
      </w:r>
    </w:p>
    <w:p w:rsidR="00E50824" w:rsidRPr="00AA5056" w:rsidRDefault="00771C30" w:rsidP="00E50824">
      <w:pPr>
        <w:spacing w:after="120"/>
        <w:ind w:left="1247"/>
        <w:rPr>
          <w:sz w:val="20"/>
        </w:rPr>
      </w:pPr>
      <w:r w:rsidRPr="00771C30">
        <w:rPr>
          <w:sz w:val="20"/>
        </w:rPr>
        <w:t>3.</w:t>
      </w:r>
      <w:r w:rsidRPr="00771C30">
        <w:rPr>
          <w:sz w:val="20"/>
        </w:rPr>
        <w:tab/>
      </w:r>
      <w:r w:rsidR="00E50824" w:rsidRPr="00AA5056">
        <w:rPr>
          <w:sz w:val="20"/>
        </w:rPr>
        <w:t xml:space="preserve">В своей резолюции 1/10 Ассамблея Организации Объединенных Наций по окружающей среде также просила Директора-исполнителя подготовить доклад на основе информации, </w:t>
      </w:r>
      <w:r w:rsidR="00A7292F">
        <w:rPr>
          <w:sz w:val="20"/>
        </w:rPr>
        <w:t xml:space="preserve">полученной в результате выполнения </w:t>
      </w:r>
      <w:r w:rsidR="00E50824" w:rsidRPr="00AA5056">
        <w:rPr>
          <w:sz w:val="20"/>
        </w:rPr>
        <w:t>пункт</w:t>
      </w:r>
      <w:r w:rsidR="00A7292F">
        <w:rPr>
          <w:sz w:val="20"/>
        </w:rPr>
        <w:t>а</w:t>
      </w:r>
      <w:r w:rsidR="00E50824" w:rsidRPr="00AA5056">
        <w:rPr>
          <w:sz w:val="20"/>
        </w:rPr>
        <w:t xml:space="preserve"> 3 решения 27/8 Совета управляющих, и представить этот доклад Ассамблее по окружающей среде на ее второй сессии</w:t>
      </w:r>
      <w:r w:rsidR="00A7292F">
        <w:rPr>
          <w:sz w:val="20"/>
        </w:rPr>
        <w:t xml:space="preserve"> и</w:t>
      </w:r>
      <w:r w:rsidR="00E50824" w:rsidRPr="00AA5056">
        <w:rPr>
          <w:sz w:val="20"/>
        </w:rPr>
        <w:t xml:space="preserve"> рассмотреть вопрос об организации семинара-практикума во время этой сессии.</w:t>
      </w:r>
    </w:p>
    <w:p w:rsidR="00E50824" w:rsidRPr="00AA5056" w:rsidRDefault="00771C30" w:rsidP="00771C30">
      <w:pPr>
        <w:spacing w:after="240"/>
        <w:ind w:left="1247"/>
        <w:rPr>
          <w:sz w:val="20"/>
        </w:rPr>
      </w:pPr>
      <w:r w:rsidRPr="00771C30">
        <w:rPr>
          <w:sz w:val="20"/>
        </w:rPr>
        <w:t>4.</w:t>
      </w:r>
      <w:r w:rsidRPr="00771C30">
        <w:rPr>
          <w:sz w:val="20"/>
        </w:rPr>
        <w:tab/>
      </w:r>
      <w:r w:rsidR="00E50824" w:rsidRPr="00AA5056">
        <w:rPr>
          <w:sz w:val="20"/>
        </w:rPr>
        <w:t xml:space="preserve">Цель настоящего доклада состоит в том, чтобы представить информацию об усилиях ЮНЕП по выполнению </w:t>
      </w:r>
      <w:r w:rsidR="00A7292F">
        <w:rPr>
          <w:sz w:val="20"/>
        </w:rPr>
        <w:t>поручений</w:t>
      </w:r>
      <w:r w:rsidR="00E50824" w:rsidRPr="00AA5056">
        <w:rPr>
          <w:sz w:val="20"/>
        </w:rPr>
        <w:t>, изложенных в резолюции 1/10 Ассамбле</w:t>
      </w:r>
      <w:r w:rsidR="00730A4C">
        <w:rPr>
          <w:sz w:val="20"/>
        </w:rPr>
        <w:t>и</w:t>
      </w:r>
      <w:r w:rsidR="00E50824" w:rsidRPr="00AA5056">
        <w:rPr>
          <w:sz w:val="20"/>
        </w:rPr>
        <w:t xml:space="preserve"> Организации Объединенных Наций по окружающей среде и решении 27/8 Совета управляющих. В </w:t>
      </w:r>
      <w:r w:rsidR="00A7292F">
        <w:rPr>
          <w:sz w:val="20"/>
        </w:rPr>
        <w:t>докладе</w:t>
      </w:r>
      <w:r w:rsidR="00E50824" w:rsidRPr="00AA5056">
        <w:rPr>
          <w:sz w:val="20"/>
        </w:rPr>
        <w:t xml:space="preserve"> описывается работа, проведенная ЮНЕП по сбору и обмену информацией о широком многообразии существующих концепций, подходов, моделей и инструментов для достижения устойчивого развития и искоренения нищеты, и представлены некоторые результаты этой работы. Собранная ЮНЕП информация и главные выводы, сделанные на основе ее анализа, лягут в основу предлагаемого семинара-практикума и «ярмарки идей», которые состоятся в ходе второй сессии Ассамблеи Организации Объединенных Наций по окружающей среде в мае 2016 года и на которых можно будет обменяться мнениями о различных концепциях, подходах, моделях и инструментах для достижения экологической устойчивости.</w:t>
      </w:r>
    </w:p>
    <w:p w:rsidR="00E50824" w:rsidRPr="00771C30" w:rsidRDefault="00E50824" w:rsidP="000F0F8B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771C30">
        <w:rPr>
          <w:b/>
          <w:sz w:val="28"/>
          <w:szCs w:val="28"/>
        </w:rPr>
        <w:tab/>
        <w:t>II.</w:t>
      </w:r>
      <w:r w:rsidRPr="00771C30">
        <w:rPr>
          <w:b/>
          <w:sz w:val="28"/>
          <w:szCs w:val="28"/>
        </w:rPr>
        <w:tab/>
        <w:t>Общие сведения</w:t>
      </w:r>
    </w:p>
    <w:p w:rsidR="00E50824" w:rsidRPr="00AA5056" w:rsidRDefault="00771C30" w:rsidP="00E50824">
      <w:pPr>
        <w:spacing w:after="120"/>
        <w:ind w:left="1247"/>
        <w:rPr>
          <w:sz w:val="20"/>
        </w:rPr>
      </w:pPr>
      <w:r w:rsidRPr="00771C30">
        <w:rPr>
          <w:sz w:val="20"/>
        </w:rPr>
        <w:t>5.</w:t>
      </w:r>
      <w:r w:rsidRPr="00771C30">
        <w:rPr>
          <w:sz w:val="20"/>
        </w:rPr>
        <w:tab/>
      </w:r>
      <w:r w:rsidR="00E50824" w:rsidRPr="00AA5056">
        <w:rPr>
          <w:sz w:val="20"/>
        </w:rPr>
        <w:t>Начиная с доклада «Наше общее будущее», опубликованного Всемирной комиссией по окружающей среде и развитию в 1987 году, известного как «доклад Брунтланд», и заканчивая Рио-де-Жанейрской декларацией по окружающей среде и развитию и программой желательных действий в рамках Повестки дня на XXI век, принятой в 1992 году, правительства подтверждали, как это указано в принципе 12</w:t>
      </w:r>
      <w:r w:rsidR="00A7292F" w:rsidRPr="00A7292F">
        <w:rPr>
          <w:sz w:val="20"/>
        </w:rPr>
        <w:t xml:space="preserve"> </w:t>
      </w:r>
      <w:r w:rsidR="00A7292F" w:rsidRPr="00AA5056">
        <w:rPr>
          <w:sz w:val="20"/>
        </w:rPr>
        <w:t>Рио-де-Жанейрской деклараци</w:t>
      </w:r>
      <w:r w:rsidR="00A7292F">
        <w:rPr>
          <w:sz w:val="20"/>
        </w:rPr>
        <w:t>и</w:t>
      </w:r>
      <w:r w:rsidR="00E50824" w:rsidRPr="00AA5056">
        <w:rPr>
          <w:sz w:val="20"/>
        </w:rPr>
        <w:t>, что «государства должны сотрудничать в целях содействия созданию благоприятной и открытой международной экономической системы, которая способст</w:t>
      </w:r>
      <w:r w:rsidR="00E50824" w:rsidRPr="00AA5056">
        <w:rPr>
          <w:sz w:val="20"/>
        </w:rPr>
        <w:softHyphen/>
        <w:t>вовала бы экономическому росту и устойчивому развитию во всех странах, с тем чтобы лучше решать проблемы ухудшения состояния окружающей среды».</w:t>
      </w:r>
    </w:p>
    <w:p w:rsidR="00E50824" w:rsidRPr="00AA5056" w:rsidRDefault="00771C30" w:rsidP="00E50824">
      <w:pPr>
        <w:spacing w:after="120"/>
        <w:ind w:left="1247"/>
        <w:rPr>
          <w:sz w:val="20"/>
        </w:rPr>
      </w:pPr>
      <w:r w:rsidRPr="00771C30">
        <w:rPr>
          <w:sz w:val="20"/>
        </w:rPr>
        <w:t>6.</w:t>
      </w:r>
      <w:r w:rsidRPr="00771C30">
        <w:rPr>
          <w:sz w:val="20"/>
        </w:rPr>
        <w:tab/>
      </w:r>
      <w:r w:rsidR="00E50824" w:rsidRPr="00AA5056">
        <w:rPr>
          <w:sz w:val="20"/>
        </w:rPr>
        <w:t>Впоследствии был проведен ряд крупных ме</w:t>
      </w:r>
      <w:r w:rsidR="00A7292F">
        <w:rPr>
          <w:sz w:val="20"/>
        </w:rPr>
        <w:t>ждународных конференций, которыми были</w:t>
      </w:r>
      <w:r w:rsidR="00E50824" w:rsidRPr="00AA5056">
        <w:rPr>
          <w:sz w:val="20"/>
        </w:rPr>
        <w:t xml:space="preserve"> внес</w:t>
      </w:r>
      <w:r w:rsidR="00A7292F">
        <w:rPr>
          <w:sz w:val="20"/>
        </w:rPr>
        <w:t>ены</w:t>
      </w:r>
      <w:r w:rsidR="00E50824" w:rsidRPr="00AA5056">
        <w:rPr>
          <w:sz w:val="20"/>
        </w:rPr>
        <w:t xml:space="preserve"> ряд уточнений в определение и цели устойчивого развития: например, Саммит тысячелетия Организации Объединенных Наций в 2000 году, на котором были выработаны Цели в области развития, и Всемирная встреча на высшем уровне </w:t>
      </w:r>
      <w:r w:rsidR="00A7292F">
        <w:rPr>
          <w:sz w:val="20"/>
        </w:rPr>
        <w:t>по устойчивому развитию</w:t>
      </w:r>
      <w:r w:rsidR="00E50824" w:rsidRPr="00AA5056">
        <w:rPr>
          <w:sz w:val="20"/>
        </w:rPr>
        <w:t xml:space="preserve">, состоявшаяся в 2002 году в Йоханнесбурге, Южная Африка, на которой мировые лидеры подтвердили свою приверженность курсу на достижение этих целей и утвердили План выполнения решений Всемирной встречи на высшем уровне по устойчивому развитию, в </w:t>
      </w:r>
      <w:r w:rsidR="00E50824" w:rsidRPr="00AA5056">
        <w:rPr>
          <w:sz w:val="20"/>
        </w:rPr>
        <w:lastRenderedPageBreak/>
        <w:t>котором содержался призыв ко всем соответствующим руководителям на всех уровнях учитывать цели устойчивого развития в процессе принятия решений</w:t>
      </w:r>
      <w:r w:rsidR="004C48A3" w:rsidRPr="004C48A3">
        <w:rPr>
          <w:sz w:val="20"/>
          <w:vertAlign w:val="superscript"/>
        </w:rPr>
        <w:footnoteReference w:id="1"/>
      </w:r>
      <w:r w:rsidR="00E50824" w:rsidRPr="00AA5056">
        <w:rPr>
          <w:sz w:val="20"/>
        </w:rPr>
        <w:t>.</w:t>
      </w:r>
    </w:p>
    <w:p w:rsidR="00E50824" w:rsidRPr="00AA5056" w:rsidRDefault="00771C30" w:rsidP="00E50824">
      <w:pPr>
        <w:spacing w:after="120"/>
        <w:ind w:left="1247"/>
        <w:rPr>
          <w:sz w:val="20"/>
        </w:rPr>
      </w:pPr>
      <w:r w:rsidRPr="00771C30">
        <w:rPr>
          <w:sz w:val="20"/>
        </w:rPr>
        <w:t>7.</w:t>
      </w:r>
      <w:r w:rsidRPr="00771C30">
        <w:rPr>
          <w:sz w:val="20"/>
        </w:rPr>
        <w:tab/>
      </w:r>
      <w:r w:rsidR="00E50824" w:rsidRPr="00AA5056">
        <w:rPr>
          <w:sz w:val="20"/>
        </w:rPr>
        <w:t xml:space="preserve">В 2008 году мир стал свидетелем беспрецедентного финансового кризиса, подорвавшего и поставившего под угрозу усилия по достижению Целей в области развития, сформулированные в Декларации тысячелетия, и устойчивого развития. В условиях этого кризиса многие правительства начали пересматривать традиционные экономические модели и понятия богатства и процветания. К началу этой дискуссии также подтолкнуло появление большого количества данных и признание рисков, связанных с изменением климата и деградацией экосистем. </w:t>
      </w:r>
    </w:p>
    <w:p w:rsidR="00E50824" w:rsidRPr="00AA5056" w:rsidRDefault="004C48A3" w:rsidP="00E50824">
      <w:pPr>
        <w:spacing w:after="120"/>
        <w:ind w:left="1247"/>
        <w:rPr>
          <w:sz w:val="20"/>
        </w:rPr>
      </w:pPr>
      <w:r w:rsidRPr="004C48A3">
        <w:rPr>
          <w:sz w:val="20"/>
        </w:rPr>
        <w:t>8.</w:t>
      </w:r>
      <w:r w:rsidRPr="004C48A3">
        <w:rPr>
          <w:sz w:val="20"/>
        </w:rPr>
        <w:tab/>
      </w:r>
      <w:r w:rsidR="00E50824" w:rsidRPr="00AA5056">
        <w:rPr>
          <w:sz w:val="20"/>
        </w:rPr>
        <w:t>В период, когда ряд стран подумывали об использовании пакетов финансовых стимулов для борьбы с финансовым кризисом, ЮНЕП выступила инициатором</w:t>
      </w:r>
      <w:r>
        <w:rPr>
          <w:sz w:val="20"/>
        </w:rPr>
        <w:t xml:space="preserve"> </w:t>
      </w:r>
      <w:r w:rsidRPr="004C48A3">
        <w:rPr>
          <w:sz w:val="20"/>
        </w:rPr>
        <w:t>«</w:t>
      </w:r>
      <w:r w:rsidR="00E50824" w:rsidRPr="00AA5056">
        <w:rPr>
          <w:sz w:val="20"/>
        </w:rPr>
        <w:t>глобального «зеленого» нового курса</w:t>
      </w:r>
      <w:r w:rsidRPr="004C48A3">
        <w:rPr>
          <w:sz w:val="20"/>
        </w:rPr>
        <w:t>»</w:t>
      </w:r>
      <w:r w:rsidR="00E50824" w:rsidRPr="00AA5056">
        <w:rPr>
          <w:sz w:val="20"/>
        </w:rPr>
        <w:t xml:space="preserve"> с тем, чтобы стимулировать их к выделению части своих пакетов финансовых стимулов на инвестиции, содействующие оживлению экономики и созданию рабочих мест в экономических секторах, способствующих повышению экологической устойчивости. На основе этих успешных усилий ЮНЕП в 2008 году </w:t>
      </w:r>
      <w:r w:rsidR="003F6D2A">
        <w:rPr>
          <w:sz w:val="20"/>
        </w:rPr>
        <w:t xml:space="preserve">приступила к реализации </w:t>
      </w:r>
      <w:r w:rsidR="00E50824" w:rsidRPr="00AA5056">
        <w:rPr>
          <w:sz w:val="20"/>
        </w:rPr>
        <w:t xml:space="preserve"> инициатив</w:t>
      </w:r>
      <w:r w:rsidR="003F6D2A">
        <w:rPr>
          <w:sz w:val="20"/>
        </w:rPr>
        <w:t>ы</w:t>
      </w:r>
      <w:r w:rsidR="00E50824" w:rsidRPr="00AA5056">
        <w:rPr>
          <w:sz w:val="20"/>
        </w:rPr>
        <w:t xml:space="preserve"> «</w:t>
      </w:r>
      <w:r w:rsidR="003F6D2A">
        <w:rPr>
          <w:sz w:val="20"/>
        </w:rPr>
        <w:t>З</w:t>
      </w:r>
      <w:r w:rsidR="00E50824" w:rsidRPr="00AA5056">
        <w:rPr>
          <w:sz w:val="20"/>
        </w:rPr>
        <w:t>елен</w:t>
      </w:r>
      <w:r w:rsidR="003F6D2A">
        <w:rPr>
          <w:sz w:val="20"/>
        </w:rPr>
        <w:t>ая</w:t>
      </w:r>
      <w:r w:rsidR="00E50824" w:rsidRPr="00AA5056">
        <w:rPr>
          <w:sz w:val="20"/>
        </w:rPr>
        <w:t xml:space="preserve"> экономик</w:t>
      </w:r>
      <w:r w:rsidR="003F6D2A">
        <w:rPr>
          <w:sz w:val="20"/>
        </w:rPr>
        <w:t>а»</w:t>
      </w:r>
      <w:r w:rsidR="00E50824" w:rsidRPr="00AA5056">
        <w:rPr>
          <w:sz w:val="20"/>
        </w:rPr>
        <w:t xml:space="preserve"> для </w:t>
      </w:r>
      <w:r w:rsidR="003F6D2A">
        <w:rPr>
          <w:sz w:val="20"/>
        </w:rPr>
        <w:t>изложения</w:t>
      </w:r>
      <w:r w:rsidR="003F6D2A" w:rsidRPr="00AA5056">
        <w:rPr>
          <w:sz w:val="20"/>
        </w:rPr>
        <w:t xml:space="preserve"> </w:t>
      </w:r>
      <w:r w:rsidR="00E50824" w:rsidRPr="00AA5056">
        <w:rPr>
          <w:sz w:val="20"/>
        </w:rPr>
        <w:t xml:space="preserve">стратегий и путей обеспечения более устойчивого экономического роста и в 2011 году опубликовала </w:t>
      </w:r>
      <w:r w:rsidR="003F6D2A">
        <w:rPr>
          <w:sz w:val="20"/>
        </w:rPr>
        <w:t>«Д</w:t>
      </w:r>
      <w:r w:rsidR="00E50824" w:rsidRPr="00AA5056">
        <w:rPr>
          <w:sz w:val="20"/>
        </w:rPr>
        <w:t>оклад о «зеленой» экономике</w:t>
      </w:r>
      <w:r w:rsidR="003F6D2A">
        <w:rPr>
          <w:sz w:val="20"/>
        </w:rPr>
        <w:t>»</w:t>
      </w:r>
      <w:r w:rsidR="00E50824" w:rsidRPr="00AA5056">
        <w:rPr>
          <w:sz w:val="20"/>
        </w:rPr>
        <w:t xml:space="preserve">, в котором давалось дальнейшее экономическое обоснование устойчивого развития. </w:t>
      </w:r>
    </w:p>
    <w:p w:rsidR="00E50824" w:rsidRPr="00AA5056" w:rsidRDefault="004C48A3" w:rsidP="00E50824">
      <w:pPr>
        <w:spacing w:after="120"/>
        <w:ind w:left="1247"/>
        <w:rPr>
          <w:sz w:val="20"/>
        </w:rPr>
      </w:pPr>
      <w:r w:rsidRPr="004C48A3">
        <w:rPr>
          <w:sz w:val="20"/>
        </w:rPr>
        <w:t>9.</w:t>
      </w:r>
      <w:r w:rsidRPr="004C48A3">
        <w:rPr>
          <w:sz w:val="20"/>
        </w:rPr>
        <w:tab/>
      </w:r>
      <w:r w:rsidR="00E50824" w:rsidRPr="00AA5056">
        <w:rPr>
          <w:sz w:val="20"/>
        </w:rPr>
        <w:t>Понятие «зеленой» экономики получило еще большее международное признание в 2012</w:t>
      </w:r>
      <w:r>
        <w:rPr>
          <w:sz w:val="20"/>
          <w:lang w:val="en-US"/>
        </w:rPr>
        <w:t> </w:t>
      </w:r>
      <w:r w:rsidR="00E50824" w:rsidRPr="00AA5056">
        <w:rPr>
          <w:sz w:val="20"/>
        </w:rPr>
        <w:t xml:space="preserve">году на Конференции Организации Объединенных Наций по устойчивому развитию в Рио-де-Жанейро, Бразилия, главной темой которой стала ««зеленая» экономика в контексте устойчивого развития и ликвидации нищеты». В итоговом документе </w:t>
      </w:r>
      <w:r w:rsidR="003F6D2A">
        <w:rPr>
          <w:sz w:val="20"/>
        </w:rPr>
        <w:t xml:space="preserve">«Будущее, которого мы хотим» </w:t>
      </w:r>
      <w:r w:rsidR="003F6D2A" w:rsidRPr="003F6D2A">
        <w:rPr>
          <w:sz w:val="20"/>
        </w:rPr>
        <w:t>(A/RES/66/288)</w:t>
      </w:r>
      <w:r w:rsidR="00E50824" w:rsidRPr="00AA5056">
        <w:rPr>
          <w:sz w:val="20"/>
        </w:rPr>
        <w:t xml:space="preserve"> </w:t>
      </w:r>
      <w:r w:rsidR="003F6D2A" w:rsidRPr="00AA5056">
        <w:rPr>
          <w:sz w:val="20"/>
        </w:rPr>
        <w:t>признавалось</w:t>
      </w:r>
      <w:r w:rsidR="003F6D2A">
        <w:rPr>
          <w:sz w:val="20"/>
        </w:rPr>
        <w:t xml:space="preserve">, </w:t>
      </w:r>
      <w:r w:rsidR="00E50824" w:rsidRPr="00AA5056">
        <w:rPr>
          <w:sz w:val="20"/>
        </w:rPr>
        <w:t xml:space="preserve">что для </w:t>
      </w:r>
      <w:r w:rsidR="003F6D2A">
        <w:rPr>
          <w:sz w:val="20"/>
        </w:rPr>
        <w:t>«</w:t>
      </w:r>
      <w:r w:rsidR="00E50824" w:rsidRPr="00AA5056">
        <w:rPr>
          <w:sz w:val="20"/>
        </w:rPr>
        <w:t>обеспечения устойчивого развития могут применяться разные подходы, стратегии, модели и инструменты, имеющиеся в распоряжении каждой страны</w:t>
      </w:r>
      <w:r w:rsidR="003F6D2A">
        <w:rPr>
          <w:sz w:val="20"/>
        </w:rPr>
        <w:t>» (пункт 56)</w:t>
      </w:r>
      <w:r w:rsidR="00E50824" w:rsidRPr="00AA5056">
        <w:rPr>
          <w:sz w:val="20"/>
        </w:rPr>
        <w:t xml:space="preserve">, и подчеркивалось, что «зеленая» экономика является важным инструментом достижения устойчивого развития. </w:t>
      </w:r>
    </w:p>
    <w:p w:rsidR="00E50824" w:rsidRPr="00AA5056" w:rsidRDefault="004C48A3" w:rsidP="00E50824">
      <w:pPr>
        <w:spacing w:after="120"/>
        <w:ind w:left="1247"/>
        <w:rPr>
          <w:sz w:val="20"/>
        </w:rPr>
      </w:pPr>
      <w:r w:rsidRPr="004C48A3">
        <w:rPr>
          <w:sz w:val="20"/>
        </w:rPr>
        <w:t>10.</w:t>
      </w:r>
      <w:r w:rsidRPr="004C48A3">
        <w:rPr>
          <w:sz w:val="20"/>
        </w:rPr>
        <w:tab/>
      </w:r>
      <w:r w:rsidR="00E50824" w:rsidRPr="00AA5056">
        <w:rPr>
          <w:sz w:val="20"/>
        </w:rPr>
        <w:t>В 2013,</w:t>
      </w:r>
      <w:r w:rsidR="00DB4795">
        <w:rPr>
          <w:sz w:val="20"/>
        </w:rPr>
        <w:t xml:space="preserve"> </w:t>
      </w:r>
      <w:r w:rsidR="00E50824" w:rsidRPr="00AA5056">
        <w:rPr>
          <w:sz w:val="20"/>
        </w:rPr>
        <w:t xml:space="preserve">году Совет управляющих ЮНЕП отметил </w:t>
      </w:r>
      <w:r w:rsidR="003F6D2A">
        <w:rPr>
          <w:sz w:val="20"/>
        </w:rPr>
        <w:t>акцент</w:t>
      </w:r>
      <w:r w:rsidR="00E50824" w:rsidRPr="00AA5056">
        <w:rPr>
          <w:sz w:val="20"/>
        </w:rPr>
        <w:t xml:space="preserve">, сделанный в ходе Конференции Организации Объединенных Наций по устойчивому развитию на различных путях, способствующих созданию инклюзивной и устойчивой экономики. В решении 27/8 Совет управляющих отметил многообразие подходов и просил Директора-исполнителя ЮНЕП «провести сбор материалов о таких инициативах, начинаниях, видах практики и опыте, в том что касается различных подходов, концепций, моделей и инструментов, в том числе в отношении «зеленой» экономики в контексте устойчивого развития и искоренения нищеты, и распространить их, а также содействовать обмену информацией между странами, с тем чтобы оказать им поддержку в их усилиях, способствующих достижению целей устойчивого развития и искоренения нищеты». </w:t>
      </w:r>
    </w:p>
    <w:p w:rsidR="00E50824" w:rsidRPr="00AA5056" w:rsidRDefault="00E202FA" w:rsidP="00E202FA">
      <w:pPr>
        <w:spacing w:after="240"/>
        <w:ind w:left="1247"/>
        <w:rPr>
          <w:sz w:val="20"/>
        </w:rPr>
      </w:pPr>
      <w:r w:rsidRPr="00E202FA">
        <w:rPr>
          <w:sz w:val="20"/>
        </w:rPr>
        <w:t>11.</w:t>
      </w:r>
      <w:r w:rsidRPr="00E202FA">
        <w:rPr>
          <w:sz w:val="20"/>
        </w:rPr>
        <w:tab/>
      </w:r>
      <w:r w:rsidR="00E50824" w:rsidRPr="00AA5056">
        <w:rPr>
          <w:sz w:val="20"/>
        </w:rPr>
        <w:t xml:space="preserve">В 2014 году Ассамблея Организации Объединенных Наций по окружающей среде приняла резолюцию 1/10, в которой она просила Директора-исполнителя подготовить доклад на основе информации, </w:t>
      </w:r>
      <w:r w:rsidR="003F6D2A">
        <w:rPr>
          <w:sz w:val="20"/>
        </w:rPr>
        <w:t xml:space="preserve">полученной в результате выполнения </w:t>
      </w:r>
      <w:r w:rsidR="00E50824" w:rsidRPr="00AA5056">
        <w:rPr>
          <w:sz w:val="20"/>
        </w:rPr>
        <w:t>пункт</w:t>
      </w:r>
      <w:r w:rsidR="003F6D2A">
        <w:rPr>
          <w:sz w:val="20"/>
        </w:rPr>
        <w:t>а</w:t>
      </w:r>
      <w:r w:rsidR="00E50824" w:rsidRPr="00AA5056">
        <w:rPr>
          <w:sz w:val="20"/>
        </w:rPr>
        <w:t xml:space="preserve"> 3 решения 27/8 Совета управляющих, и представить этот доклад Ассамблее Организации Объединенных Наций по окружающей среде на ее второй сессии, а также рассмотреть вопрос об организации семинара-практикума во время этой сессии. </w:t>
      </w:r>
    </w:p>
    <w:p w:rsidR="00E50824" w:rsidRPr="00E202FA" w:rsidRDefault="00E50824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E202FA">
        <w:rPr>
          <w:b/>
          <w:sz w:val="28"/>
          <w:szCs w:val="28"/>
        </w:rPr>
        <w:tab/>
        <w:t>III.</w:t>
      </w:r>
      <w:r w:rsidRPr="00E202FA">
        <w:rPr>
          <w:b/>
          <w:sz w:val="28"/>
          <w:szCs w:val="28"/>
        </w:rPr>
        <w:tab/>
        <w:t>Нынешняя ситуация и меры, принятые ЮНЕП</w:t>
      </w:r>
    </w:p>
    <w:p w:rsidR="00E50824" w:rsidRPr="00771C30" w:rsidRDefault="00E50824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771C30">
        <w:rPr>
          <w:b/>
          <w:sz w:val="24"/>
          <w:szCs w:val="24"/>
        </w:rPr>
        <w:tab/>
        <w:t>A.</w:t>
      </w:r>
      <w:r w:rsidRPr="00771C30">
        <w:rPr>
          <w:b/>
          <w:sz w:val="24"/>
          <w:szCs w:val="24"/>
        </w:rPr>
        <w:tab/>
        <w:t>Многообразие путей к достижению устойчивого развития</w:t>
      </w:r>
    </w:p>
    <w:p w:rsidR="00E50824" w:rsidRPr="00AA5056" w:rsidRDefault="00E202FA" w:rsidP="00E50824">
      <w:pPr>
        <w:spacing w:after="120"/>
        <w:ind w:left="1247"/>
        <w:rPr>
          <w:sz w:val="20"/>
        </w:rPr>
      </w:pPr>
      <w:r w:rsidRPr="00E202FA">
        <w:rPr>
          <w:sz w:val="20"/>
        </w:rPr>
        <w:t>12.</w:t>
      </w:r>
      <w:r w:rsidRPr="00E202FA">
        <w:rPr>
          <w:sz w:val="20"/>
        </w:rPr>
        <w:tab/>
      </w:r>
      <w:r w:rsidR="00E50824" w:rsidRPr="00AA5056">
        <w:rPr>
          <w:sz w:val="20"/>
        </w:rPr>
        <w:t xml:space="preserve">Во исполнение решения 27/8 Совета управляющих ЮНЕП начала работу по сбору и обмену информацией о различных подходах и инструментах для достижения устойчивого развития. После подтверждения ее мандата в резолюции 1/10 Ассамблеи Организации Объединенных Наций по окружающей среде ЮНЕП в рамках различных направлений своей деятельности старается учитывать положения решения 27/8 и резолюции 1/10. </w:t>
      </w:r>
    </w:p>
    <w:p w:rsidR="00E50824" w:rsidRPr="00AA5056" w:rsidRDefault="00E202FA" w:rsidP="00E50824">
      <w:pPr>
        <w:spacing w:after="120"/>
        <w:ind w:left="1247"/>
        <w:rPr>
          <w:sz w:val="20"/>
        </w:rPr>
      </w:pPr>
      <w:r w:rsidRPr="00E202FA">
        <w:rPr>
          <w:sz w:val="20"/>
        </w:rPr>
        <w:t>13.</w:t>
      </w:r>
      <w:r w:rsidRPr="00E202FA">
        <w:rPr>
          <w:sz w:val="20"/>
        </w:rPr>
        <w:tab/>
      </w:r>
      <w:r w:rsidR="00E50824" w:rsidRPr="00AA5056">
        <w:rPr>
          <w:sz w:val="20"/>
        </w:rPr>
        <w:t xml:space="preserve">В апреле 2013 года ЮНЕП организовала проект под названием «Укрепление сотрудничества </w:t>
      </w:r>
      <w:r w:rsidR="003F6D2A">
        <w:rPr>
          <w:sz w:val="20"/>
        </w:rPr>
        <w:t xml:space="preserve">по линии </w:t>
      </w:r>
      <w:r w:rsidR="00E50824" w:rsidRPr="00AA5056">
        <w:rPr>
          <w:sz w:val="20"/>
        </w:rPr>
        <w:t xml:space="preserve">Юг-Юг – создание потенциала у развивающихся стран для развития «зеленой» экономики», являющийся первым шагом, предпринятым во исполнение решения 27/8 Совета управляющих и последующей резолюции Ассамблеи </w:t>
      </w:r>
      <w:r w:rsidR="003F6D2A">
        <w:rPr>
          <w:sz w:val="20"/>
        </w:rPr>
        <w:t xml:space="preserve">Организации Объединенных </w:t>
      </w:r>
      <w:r w:rsidR="003F6D2A">
        <w:rPr>
          <w:sz w:val="20"/>
        </w:rPr>
        <w:lastRenderedPageBreak/>
        <w:t xml:space="preserve">Наций </w:t>
      </w:r>
      <w:r w:rsidR="00E50824" w:rsidRPr="00AA5056">
        <w:rPr>
          <w:sz w:val="20"/>
        </w:rPr>
        <w:t xml:space="preserve">по окружающей среде, в рамках которого был подготовлен ряд информационных продуктов - 4 документа общего характера, брошюра объемом 24 страницы, 5 видеороликов и обобщающий доклад объемом 55 страниц – в которых описывались 4 различных национальных подхода к обеспечению устойчивого развития и искоренению нищеты. Кроме того, ЮНЕП содействовала обмену информацией о своей работе с помощью четырех мероприятий по распространению информации и созданию потенциала. </w:t>
      </w:r>
    </w:p>
    <w:p w:rsidR="00E50824" w:rsidRPr="00AA5056" w:rsidRDefault="00E202FA" w:rsidP="00E50824">
      <w:pPr>
        <w:spacing w:after="120"/>
        <w:ind w:left="1247"/>
        <w:rPr>
          <w:sz w:val="20"/>
        </w:rPr>
      </w:pPr>
      <w:r w:rsidRPr="00E202FA">
        <w:rPr>
          <w:sz w:val="20"/>
        </w:rPr>
        <w:t>14.</w:t>
      </w:r>
      <w:r w:rsidRPr="00E202FA">
        <w:rPr>
          <w:sz w:val="20"/>
        </w:rPr>
        <w:tab/>
      </w:r>
      <w:r w:rsidR="00E50824" w:rsidRPr="00AA5056">
        <w:rPr>
          <w:sz w:val="20"/>
        </w:rPr>
        <w:t xml:space="preserve">В обобщающем докладе об итогах проекта </w:t>
      </w:r>
      <w:r w:rsidR="003F6D2A">
        <w:rPr>
          <w:sz w:val="20"/>
        </w:rPr>
        <w:t xml:space="preserve">(ЮНЕП, 2015 год) </w:t>
      </w:r>
      <w:r w:rsidR="00E50824" w:rsidRPr="00AA5056">
        <w:rPr>
          <w:sz w:val="20"/>
        </w:rPr>
        <w:t xml:space="preserve">под названием «Многообразие путей </w:t>
      </w:r>
      <w:r w:rsidR="00EF014C">
        <w:rPr>
          <w:sz w:val="20"/>
        </w:rPr>
        <w:t>для</w:t>
      </w:r>
      <w:r w:rsidR="00E50824" w:rsidRPr="00AA5056">
        <w:rPr>
          <w:sz w:val="20"/>
        </w:rPr>
        <w:t xml:space="preserve"> достижени</w:t>
      </w:r>
      <w:r w:rsidR="00EF014C">
        <w:rPr>
          <w:sz w:val="20"/>
        </w:rPr>
        <w:t>я</w:t>
      </w:r>
      <w:r w:rsidR="00E50824" w:rsidRPr="00AA5056">
        <w:rPr>
          <w:sz w:val="20"/>
        </w:rPr>
        <w:t xml:space="preserve"> устойчивого развития: первоначальные выводы на основе опыта глобального Юга» был сделан вывод о том, что четыре рассмотренных национальные подхода к обеспечению устойчивого развития и искоренению нищеты отражают конкретный опыт, условия и приоритеты соответствующих стран (Боливии (Многонационального </w:t>
      </w:r>
      <w:r w:rsidR="005B5F52" w:rsidRPr="00AA5056">
        <w:rPr>
          <w:sz w:val="20"/>
        </w:rPr>
        <w:t>Государства</w:t>
      </w:r>
      <w:r w:rsidR="00E50824" w:rsidRPr="00AA5056">
        <w:rPr>
          <w:sz w:val="20"/>
        </w:rPr>
        <w:t>), Китая, Южной Африки и Таиланда); что они основаны на конкретных концепциях устойчивого развития; и что в них используются различные инструменты для достижения намеченных целей, которые описываются ниже:</w:t>
      </w:r>
    </w:p>
    <w:p w:rsidR="00E50824" w:rsidRPr="00AA5056" w:rsidRDefault="00E202FA" w:rsidP="00E202FA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a</w:t>
      </w:r>
      <w:r w:rsidRPr="00E202FA">
        <w:rPr>
          <w:sz w:val="20"/>
        </w:rPr>
        <w:t>)</w:t>
      </w:r>
      <w:r w:rsidRPr="00E202FA">
        <w:rPr>
          <w:sz w:val="20"/>
        </w:rPr>
        <w:tab/>
      </w:r>
      <w:r w:rsidR="00E50824" w:rsidRPr="00AA5056">
        <w:rPr>
          <w:sz w:val="20"/>
        </w:rPr>
        <w:t xml:space="preserve">подход, предусматривающий «создание благоприятных условий для жизни в балансе и гармонии с </w:t>
      </w:r>
      <w:r w:rsidR="005B5F52">
        <w:rPr>
          <w:sz w:val="20"/>
        </w:rPr>
        <w:t>«</w:t>
      </w:r>
      <w:r w:rsidR="00E50824" w:rsidRPr="00AA5056">
        <w:rPr>
          <w:sz w:val="20"/>
        </w:rPr>
        <w:t>Матерью-землей», применяемый Многонациональным государством Боливия, отражает распространенную в мире точку зрения, согласно которой «Мать-Земля» рассматривается как живое существо, обладающее такими же правами, что и человечество, тем самым подчеркивая огромную важность сбалансированного взаимодействия между людьми и природой в материальном, эмоциональном и духовном отношении и отвергая рыночный подход, когда речь идет о повышении устойчивости. Реализация данного подхода основана на диалоге между различными социально-культурными группами, включая коренное население Боливии, и правительственными органами для содействия двустороннему обмену знаниями, включая традиционные знания, практическими методами и опытом;</w:t>
      </w:r>
    </w:p>
    <w:p w:rsidR="00E50824" w:rsidRPr="00AA5056" w:rsidRDefault="00AB3E2C" w:rsidP="00E202FA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b</w:t>
      </w:r>
      <w:r w:rsidRPr="00AB3E2C">
        <w:rPr>
          <w:sz w:val="20"/>
        </w:rPr>
        <w:t>)</w:t>
      </w:r>
      <w:r w:rsidRPr="00AB3E2C">
        <w:rPr>
          <w:sz w:val="20"/>
        </w:rPr>
        <w:tab/>
      </w:r>
      <w:r w:rsidR="00E50824" w:rsidRPr="00AA5056">
        <w:rPr>
          <w:sz w:val="20"/>
        </w:rPr>
        <w:t>в применяемом Китаем подходе под названием «экологическая цивилизация» используются конкретные целевые задания и показатели для достижения основанного на бережном использовании ресурсов экономического роста без превышения допустимой нагрузки на окружающую среду. Этот подход прочно опирается на национальную политику, стимулирующую государственных чиновников к выполнению экологических целевых заданий на национальном, региональном и местном уровнях;</w:t>
      </w:r>
    </w:p>
    <w:p w:rsidR="00E50824" w:rsidRPr="00AA5056" w:rsidRDefault="00AB3E2C" w:rsidP="00E202FA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c</w:t>
      </w:r>
      <w:r w:rsidRPr="00AB3E2C">
        <w:rPr>
          <w:sz w:val="20"/>
        </w:rPr>
        <w:t>)</w:t>
      </w:r>
      <w:r w:rsidRPr="00AB3E2C">
        <w:rPr>
          <w:sz w:val="20"/>
        </w:rPr>
        <w:tab/>
      </w:r>
      <w:r w:rsidR="00E50824" w:rsidRPr="00AA5056">
        <w:rPr>
          <w:sz w:val="20"/>
        </w:rPr>
        <w:t xml:space="preserve">применяемый Таиландом подход под названием «экономика достаточности» </w:t>
      </w:r>
      <w:r w:rsidR="00EF014C">
        <w:rPr>
          <w:sz w:val="20"/>
        </w:rPr>
        <w:t xml:space="preserve">призван </w:t>
      </w:r>
      <w:r w:rsidR="00E50824" w:rsidRPr="00AA5056">
        <w:rPr>
          <w:sz w:val="20"/>
        </w:rPr>
        <w:t>обеспечи</w:t>
      </w:r>
      <w:r w:rsidR="00EF014C">
        <w:rPr>
          <w:sz w:val="20"/>
        </w:rPr>
        <w:t>ть</w:t>
      </w:r>
      <w:r w:rsidR="00E50824" w:rsidRPr="00AA5056">
        <w:rPr>
          <w:sz w:val="20"/>
        </w:rPr>
        <w:t xml:space="preserve"> основные руководящие принципы для национальных стратегий устойчивого развития, а также жизни граждан страны, и в нем делается упор на умеренности, рациональности и жизнестойкости; и</w:t>
      </w:r>
    </w:p>
    <w:p w:rsidR="00E50824" w:rsidRPr="00AA5056" w:rsidRDefault="00AB3E2C" w:rsidP="00E202FA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d</w:t>
      </w:r>
      <w:r w:rsidRPr="00AB3E2C">
        <w:rPr>
          <w:sz w:val="20"/>
        </w:rPr>
        <w:t>)</w:t>
      </w:r>
      <w:r w:rsidRPr="00AB3E2C">
        <w:rPr>
          <w:sz w:val="20"/>
        </w:rPr>
        <w:tab/>
      </w:r>
      <w:r w:rsidR="00E50824" w:rsidRPr="00AA5056">
        <w:rPr>
          <w:sz w:val="20"/>
        </w:rPr>
        <w:t>в рамках применяемого Южной Африкой подхода «переход к «зеленой» экономике» используется понятие инклюзивной «зеленой» экономики для повышения благосостояния самых уязвимых граждан страны и постепенного перехода к ресурсосберегающей и низкоуглеродной экономике и делается упор на сокращении масштабов нищеты и устойчивом росте при осуществлении политики, в результате чего происходит перераспределение государственных и частных инвестиций в сторону «зеленых» секторов экономики и создания достойных, устойчивых рабочих мест.</w:t>
      </w:r>
    </w:p>
    <w:p w:rsidR="00E50824" w:rsidRPr="00AA5056" w:rsidRDefault="00AB3E2C" w:rsidP="00E50824">
      <w:pPr>
        <w:spacing w:after="120"/>
        <w:ind w:left="1247"/>
        <w:rPr>
          <w:sz w:val="20"/>
        </w:rPr>
      </w:pPr>
      <w:r w:rsidRPr="00AB3E2C">
        <w:rPr>
          <w:sz w:val="20"/>
        </w:rPr>
        <w:t>15.</w:t>
      </w:r>
      <w:r w:rsidRPr="00AB3E2C">
        <w:rPr>
          <w:sz w:val="20"/>
        </w:rPr>
        <w:tab/>
      </w:r>
      <w:r w:rsidR="00E50824" w:rsidRPr="00AA5056">
        <w:rPr>
          <w:sz w:val="20"/>
        </w:rPr>
        <w:t>Эти четыре национальных подхода служат конкретными примерами того, как другие страны могли бы решать аналогичные экономические, экологические и социальные проблемы. Хотя каждый из этих подходов отражает конкретные уникальные условия каждой отдельной страны и обеспечивает разные инструменты для достижения устойчивого развития, их объединяет то, что все они расширяют определение прогресса и развития</w:t>
      </w:r>
      <w:r w:rsidR="00EF014C">
        <w:rPr>
          <w:sz w:val="20"/>
        </w:rPr>
        <w:t>. В</w:t>
      </w:r>
      <w:r w:rsidR="00E50824" w:rsidRPr="00AA5056">
        <w:rPr>
          <w:sz w:val="20"/>
        </w:rPr>
        <w:t>се</w:t>
      </w:r>
      <w:r w:rsidR="00EF014C">
        <w:rPr>
          <w:sz w:val="20"/>
        </w:rPr>
        <w:t>ми</w:t>
      </w:r>
      <w:r w:rsidR="00E50824" w:rsidRPr="00AA5056">
        <w:rPr>
          <w:sz w:val="20"/>
        </w:rPr>
        <w:t xml:space="preserve"> четыр</w:t>
      </w:r>
      <w:r w:rsidR="00EF014C">
        <w:rPr>
          <w:sz w:val="20"/>
        </w:rPr>
        <w:t>ьмя</w:t>
      </w:r>
      <w:r w:rsidR="00E50824" w:rsidRPr="00AA5056">
        <w:rPr>
          <w:sz w:val="20"/>
        </w:rPr>
        <w:t xml:space="preserve"> подхода</w:t>
      </w:r>
      <w:r w:rsidR="00EF014C">
        <w:rPr>
          <w:sz w:val="20"/>
        </w:rPr>
        <w:t>ми</w:t>
      </w:r>
      <w:r w:rsidR="00E50824" w:rsidRPr="00AA5056">
        <w:rPr>
          <w:sz w:val="20"/>
        </w:rPr>
        <w:t xml:space="preserve"> рассматрива</w:t>
      </w:r>
      <w:r w:rsidR="00EF014C">
        <w:rPr>
          <w:sz w:val="20"/>
        </w:rPr>
        <w:t xml:space="preserve">ется </w:t>
      </w:r>
      <w:r w:rsidR="00E50824" w:rsidRPr="00AA5056">
        <w:rPr>
          <w:sz w:val="20"/>
        </w:rPr>
        <w:t>устойчивое развитие как нечто большее, чем просто экономический рост в традиционном смысле этого слова; и все они делают упор на повышении благосостояния, усилении социального равенства, охране культурного наследия, обеспечении устойчивого потребления и здоровья окружающей среды.</w:t>
      </w:r>
    </w:p>
    <w:p w:rsidR="00E50824" w:rsidRPr="00AA5056" w:rsidRDefault="00AB3E2C" w:rsidP="00E50824">
      <w:pPr>
        <w:spacing w:after="120"/>
        <w:ind w:left="1247"/>
        <w:rPr>
          <w:sz w:val="20"/>
        </w:rPr>
      </w:pPr>
      <w:r w:rsidRPr="00AB3E2C">
        <w:rPr>
          <w:sz w:val="20"/>
        </w:rPr>
        <w:t>16.</w:t>
      </w:r>
      <w:r w:rsidRPr="00AB3E2C">
        <w:rPr>
          <w:sz w:val="20"/>
        </w:rPr>
        <w:tab/>
      </w:r>
      <w:r w:rsidR="00E50824" w:rsidRPr="00AA5056">
        <w:rPr>
          <w:sz w:val="20"/>
        </w:rPr>
        <w:t xml:space="preserve">В обобщающем докладе был сделан вывод о том, что международному сообществу и его руководителям и разработчикам политики было бы полезно изучить все многообразие концептуальных подходов к достижению экологической устойчивости и инклюзивного развития. Каждый подход к обеспечению устойчивого развития имеет свои слабые и сильные стороны, и совершенно очевидно, что для того, чтобы быть успешными, стратегии должны сочетать сильные и согласованные концепции с необходимыми инструментами для реализации этих концепций. Различные подходы могут и должны использоваться как дополняющие, поддерживающие и усиливающие друг друга понятия. Кроме того, из доклада следует, что мощная политическая поддержка, обеспечиваемая гражданским обществом и национальной </w:t>
      </w:r>
      <w:r w:rsidR="00E50824" w:rsidRPr="00AA5056">
        <w:rPr>
          <w:sz w:val="20"/>
        </w:rPr>
        <w:lastRenderedPageBreak/>
        <w:t xml:space="preserve">культурой, имеет большое значение для успешного осуществления любой национальной стратегии устойчивого развития. </w:t>
      </w:r>
    </w:p>
    <w:p w:rsidR="00E50824" w:rsidRPr="00771C30" w:rsidRDefault="00E50824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771C30">
        <w:rPr>
          <w:b/>
          <w:sz w:val="24"/>
          <w:szCs w:val="24"/>
        </w:rPr>
        <w:tab/>
        <w:t>B.</w:t>
      </w:r>
      <w:r w:rsidRPr="00771C30">
        <w:rPr>
          <w:b/>
          <w:sz w:val="24"/>
          <w:szCs w:val="24"/>
        </w:rPr>
        <w:tab/>
        <w:t xml:space="preserve">Многообразие путей к достижению устойчивого развития: распространение информации и создание потенциала </w:t>
      </w:r>
    </w:p>
    <w:p w:rsidR="00E50824" w:rsidRPr="00AA5056" w:rsidRDefault="00AB3E2C" w:rsidP="00E50824">
      <w:pPr>
        <w:spacing w:after="120"/>
        <w:ind w:left="1247"/>
        <w:rPr>
          <w:sz w:val="20"/>
        </w:rPr>
      </w:pPr>
      <w:r w:rsidRPr="00AB3E2C">
        <w:rPr>
          <w:sz w:val="20"/>
        </w:rPr>
        <w:t>17.</w:t>
      </w:r>
      <w:r w:rsidRPr="00AB3E2C">
        <w:rPr>
          <w:sz w:val="20"/>
        </w:rPr>
        <w:tab/>
      </w:r>
      <w:r w:rsidR="00E50824" w:rsidRPr="00AA5056">
        <w:rPr>
          <w:sz w:val="20"/>
        </w:rPr>
        <w:t xml:space="preserve">Анализ ЮНЕП, касающийся многообразия путей к достижению устойчивого развития, был дополнен рядом семинаров-практикумов и мероприятий по распространению информации и созданию потенциала, проведенных с учетом просьб, изложенных в решении 27/8 Совета управляющих и резолюции 1/10 Ассамблеи по окружающей среде, которые описываются ниже: </w:t>
      </w:r>
    </w:p>
    <w:p w:rsidR="00E50824" w:rsidRPr="00AA5056" w:rsidRDefault="00080C85" w:rsidP="00726019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a</w:t>
      </w:r>
      <w:r w:rsidRPr="00080C85">
        <w:rPr>
          <w:sz w:val="20"/>
        </w:rPr>
        <w:t>)</w:t>
      </w:r>
      <w:r w:rsidRPr="00080C85">
        <w:rPr>
          <w:sz w:val="20"/>
        </w:rPr>
        <w:tab/>
      </w:r>
      <w:r w:rsidR="00E50824" w:rsidRPr="00AA5056">
        <w:rPr>
          <w:sz w:val="20"/>
        </w:rPr>
        <w:t>в рамках Глобальной выставки достижений стран Юга в области развития</w:t>
      </w:r>
      <w:r w:rsidR="00EF014C">
        <w:rPr>
          <w:sz w:val="20"/>
        </w:rPr>
        <w:t xml:space="preserve"> («ГССД-Экспо»)</w:t>
      </w:r>
      <w:r w:rsidR="00E50824" w:rsidRPr="00AA5056">
        <w:rPr>
          <w:sz w:val="20"/>
        </w:rPr>
        <w:t>, состо</w:t>
      </w:r>
      <w:r w:rsidR="00DD42B5">
        <w:rPr>
          <w:sz w:val="20"/>
        </w:rPr>
        <w:t xml:space="preserve">явшейся в 2013 году в Найроби, </w:t>
      </w:r>
      <w:r w:rsidR="00E50824" w:rsidRPr="00AA5056">
        <w:rPr>
          <w:sz w:val="20"/>
        </w:rPr>
        <w:t>ЮНЕП организовал</w:t>
      </w:r>
      <w:r w:rsidR="005B5F52">
        <w:rPr>
          <w:sz w:val="20"/>
        </w:rPr>
        <w:t>а</w:t>
      </w:r>
      <w:r w:rsidR="00E50824" w:rsidRPr="00AA5056">
        <w:rPr>
          <w:sz w:val="20"/>
        </w:rPr>
        <w:t xml:space="preserve"> экспозицию, на которой была представлена информация о вышеупомянутом проекте укрепления сотрудничества между странами Юга, включая показ трех видеоклипов для иллюстрации используемого Китаем подхода под названием «экологическая цивилизация». Помимо этого ЮНЕП подготовила и выпустила брошюру объемом 24 страницы, которая также была распространена в ходе соответствующих мероприятий в рамках </w:t>
      </w:r>
      <w:r w:rsidR="00EF014C">
        <w:rPr>
          <w:sz w:val="20"/>
        </w:rPr>
        <w:t>в</w:t>
      </w:r>
      <w:r w:rsidR="00E50824" w:rsidRPr="00AA5056">
        <w:rPr>
          <w:sz w:val="20"/>
        </w:rPr>
        <w:t xml:space="preserve">ыставки. Ежегодная премия </w:t>
      </w:r>
      <w:r w:rsidR="00EF014C">
        <w:rPr>
          <w:sz w:val="20"/>
        </w:rPr>
        <w:t>«З</w:t>
      </w:r>
      <w:r w:rsidR="00E50824" w:rsidRPr="00AA5056">
        <w:rPr>
          <w:sz w:val="20"/>
        </w:rPr>
        <w:t>а руководство сотрудничеством между странами Юга</w:t>
      </w:r>
      <w:r w:rsidR="00EF014C">
        <w:rPr>
          <w:sz w:val="20"/>
        </w:rPr>
        <w:t>»</w:t>
      </w:r>
      <w:r w:rsidR="00E50824" w:rsidRPr="00AA5056">
        <w:rPr>
          <w:sz w:val="20"/>
        </w:rPr>
        <w:t xml:space="preserve"> </w:t>
      </w:r>
      <w:r w:rsidR="00EF014C">
        <w:rPr>
          <w:sz w:val="20"/>
        </w:rPr>
        <w:t>»ГССД-Экспо-2013»</w:t>
      </w:r>
      <w:r w:rsidR="00E50824" w:rsidRPr="00AA5056">
        <w:rPr>
          <w:sz w:val="20"/>
        </w:rPr>
        <w:t xml:space="preserve"> была вручена правительству Непала за его инновационную работу по проведению обзора государственного финансирования мероприятий по борьбе с изменением климата и организационного обеспечения при поддержке Программы развития Организации Объединенных Наций/Инициативы по борьбе с нищетой и охране окружающей среды;</w:t>
      </w:r>
    </w:p>
    <w:p w:rsidR="00E50824" w:rsidRPr="00AA5056" w:rsidRDefault="00080C85" w:rsidP="00726019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b</w:t>
      </w:r>
      <w:r w:rsidRPr="00080C85">
        <w:rPr>
          <w:sz w:val="20"/>
        </w:rPr>
        <w:t>)</w:t>
      </w:r>
      <w:r w:rsidRPr="00080C85">
        <w:rPr>
          <w:sz w:val="20"/>
        </w:rPr>
        <w:tab/>
      </w:r>
      <w:r w:rsidR="00E50824" w:rsidRPr="00AA5056">
        <w:rPr>
          <w:sz w:val="20"/>
        </w:rPr>
        <w:t>в декабре 2014 года ЮНЕП организовала семинар-практикум для содействия обмену знаниями между странами из региона Ассоциации государств Юго-Восточной Азии и создания потенциала для выработки соответствующих местным условиям систем показателей. Участники из десяти стран встретились для того, чтобы обменяться информацией о подходах к достижению устойчивого развития и обсудить извлеченные уроки и примеры наилучшей практики, а также основные препятствия на пути реализации этих подходов. На семинаре-практикуме были представлены материалы по четырем вышеуказанным национальным подходам – «создание благоприятных условий для жизни в балансе и гармонии с Матерью-землей», «экологическая цивилизация», «экономика достаточности» и «переход к «зеленой» экономике», и для участников были организованы программы технического обучения использованию соответствующих показателей. Представители Китая, Индонезии и Южной Африки поделились опытом</w:t>
      </w:r>
      <w:r w:rsidR="00EF014C">
        <w:rPr>
          <w:sz w:val="20"/>
        </w:rPr>
        <w:t xml:space="preserve"> своих стран</w:t>
      </w:r>
      <w:r w:rsidR="00E50824" w:rsidRPr="00AA5056">
        <w:rPr>
          <w:sz w:val="20"/>
        </w:rPr>
        <w:t xml:space="preserve"> в области использования показателей для выработки целевых заданий и разработки и оценки политики;</w:t>
      </w:r>
    </w:p>
    <w:p w:rsidR="00E50824" w:rsidRPr="00AA5056" w:rsidRDefault="00080C85" w:rsidP="00726019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c</w:t>
      </w:r>
      <w:r w:rsidRPr="00080C85">
        <w:rPr>
          <w:sz w:val="20"/>
        </w:rPr>
        <w:t>)</w:t>
      </w:r>
      <w:r w:rsidRPr="00080C85">
        <w:rPr>
          <w:sz w:val="20"/>
        </w:rPr>
        <w:tab/>
      </w:r>
      <w:r w:rsidR="00E50824" w:rsidRPr="00AA5056">
        <w:rPr>
          <w:sz w:val="20"/>
        </w:rPr>
        <w:t xml:space="preserve">второй семинар-практикум, состоявшийся в апреле 2015 года в Сеуле и совместно организованный ЮНЕП и Институтом глобального «зеленого» роста, опирался на успех семинара-практикума в Бали и привлек широкую аудиторию участников, которые обменялись информацией о национальных подходах к достижению устойчивого развития из большого числа стран; </w:t>
      </w:r>
    </w:p>
    <w:p w:rsidR="00E50824" w:rsidRPr="00AA5056" w:rsidRDefault="00080C85" w:rsidP="00726019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d</w:t>
      </w:r>
      <w:r w:rsidRPr="00080C85">
        <w:rPr>
          <w:sz w:val="20"/>
        </w:rPr>
        <w:t>)</w:t>
      </w:r>
      <w:r w:rsidRPr="00080C85">
        <w:rPr>
          <w:sz w:val="20"/>
        </w:rPr>
        <w:tab/>
      </w:r>
      <w:r w:rsidR="00E50824" w:rsidRPr="00AA5056">
        <w:rPr>
          <w:sz w:val="20"/>
        </w:rPr>
        <w:t>в итоговом документе пленарного заседания высокого уровня Генеральной Ассамблеи под названием «Всемирная конференция по коренным народам»</w:t>
      </w:r>
      <w:r w:rsidR="00EF014C">
        <w:rPr>
          <w:sz w:val="20"/>
        </w:rPr>
        <w:t xml:space="preserve"> </w:t>
      </w:r>
      <w:r w:rsidR="00EF014C" w:rsidRPr="00EF014C">
        <w:rPr>
          <w:sz w:val="20"/>
        </w:rPr>
        <w:t>(A/RES/69/2)</w:t>
      </w:r>
      <w:r w:rsidR="00E50824" w:rsidRPr="00AA5056">
        <w:rPr>
          <w:sz w:val="20"/>
        </w:rPr>
        <w:t xml:space="preserve"> главы государств и правительств просили Генерального секретаря в консультации и сотрудничестве с коренными народами, Межучрежденческой группой поддержки по вопросам коренных народов и государствами-членами приступить к составлению общесистемного плана действий с целью обеспечения согласованности усилий для достижения целей Декларации Организации Объединенных Наций о правах коренных народов, принятой Генеральной Ассамблеей 13 сентября 2007 года. Во исполнение этой просьбы был составлен план действий в консультации с государствами-членами, коренными народами и Межучрежденческой группой поддержки по вопросам коренных народов, членом которой является ЮНЕП. В ходе консультаций была выявлена необходимость принятия согласованных мер для осуществления Декларации, особенно на страновом уровне. Главная задача плана действий состоит в том, чтобы повысить слаженность усилий Организации Объединенных Наций по защите прав и благосостояния коренных народов, в том числе при оказании поддержки государствам-членам, с конечной целью осуществления Декларации при активном участии коренных народов на всех уровнях и в рамках осуществления Повестки дня в области устойчивого развития на период до 2030 года. Принцип экологической устойчивости включает в себя признание тесной связи между экологическими факторами и обеспечением прав и благосостояния коренных народов, включая традиционные знания коренных народов в качестве вклада в устойчивое развитие, в рамках всех мероприятий, изложенных в плане действий, </w:t>
      </w:r>
      <w:r w:rsidR="00EF014C">
        <w:rPr>
          <w:sz w:val="20"/>
        </w:rPr>
        <w:t>который</w:t>
      </w:r>
      <w:r w:rsidR="00EF014C" w:rsidRPr="00AA5056">
        <w:rPr>
          <w:sz w:val="20"/>
        </w:rPr>
        <w:t xml:space="preserve"> </w:t>
      </w:r>
      <w:r w:rsidR="00E50824" w:rsidRPr="00AA5056">
        <w:rPr>
          <w:sz w:val="20"/>
        </w:rPr>
        <w:t xml:space="preserve">будет способствовать развитию духа партнерства и сотрудничества между системой Организации Объединенных </w:t>
      </w:r>
      <w:r w:rsidR="00E50824" w:rsidRPr="00AA5056">
        <w:rPr>
          <w:sz w:val="20"/>
        </w:rPr>
        <w:lastRenderedPageBreak/>
        <w:t xml:space="preserve">Наций, организациями гражданского общества и многосторонними органами, такими как региональные банки развития и специальные процедуры и комиссии по правам человека; </w:t>
      </w:r>
    </w:p>
    <w:p w:rsidR="00E50824" w:rsidRPr="00AA5056" w:rsidRDefault="00080C85" w:rsidP="00726019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e</w:t>
      </w:r>
      <w:r w:rsidRPr="00080C85">
        <w:rPr>
          <w:sz w:val="20"/>
        </w:rPr>
        <w:t>)</w:t>
      </w:r>
      <w:r w:rsidRPr="00080C85">
        <w:rPr>
          <w:sz w:val="20"/>
        </w:rPr>
        <w:tab/>
      </w:r>
      <w:r w:rsidR="00E50824" w:rsidRPr="00AA5056">
        <w:rPr>
          <w:sz w:val="20"/>
        </w:rPr>
        <w:t>ЮНЕП оказывает и будет продолжать оказывать поддержку осуществлению прав коренных народов в реализации и проведении обзора Повестки дня на период до 2030</w:t>
      </w:r>
      <w:r>
        <w:rPr>
          <w:sz w:val="20"/>
          <w:lang w:val="en-US"/>
        </w:rPr>
        <w:t> </w:t>
      </w:r>
      <w:r w:rsidR="00E50824" w:rsidRPr="00AA5056">
        <w:rPr>
          <w:sz w:val="20"/>
        </w:rPr>
        <w:t>года. Принципиально важно обеспечить, чтобы усилия системы Организации Объединенных Наций по оказанию государствам-членам помощи в достижении Целей в области устойчивого развития, по возможности, включали в себя упор на коренные народы, которые являются одной из групп населения, пользующихся наименьшим вниманием в процессе достижения этих Целей;</w:t>
      </w:r>
    </w:p>
    <w:p w:rsidR="00E50824" w:rsidRPr="00AA5056" w:rsidRDefault="00080C85" w:rsidP="00726019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f</w:t>
      </w:r>
      <w:r w:rsidRPr="00080C85">
        <w:rPr>
          <w:sz w:val="20"/>
        </w:rPr>
        <w:t>)</w:t>
      </w:r>
      <w:r w:rsidRPr="00080C85">
        <w:rPr>
          <w:sz w:val="20"/>
        </w:rPr>
        <w:tab/>
      </w:r>
      <w:r w:rsidR="00E50824" w:rsidRPr="00AA5056">
        <w:rPr>
          <w:sz w:val="20"/>
        </w:rPr>
        <w:t xml:space="preserve">во время Всемирной конференции по коренным народам вспомогательное мероприятие под названием «Права коренных народов на земли, территории и ресурсы» </w:t>
      </w:r>
      <w:r w:rsidR="00EF014C">
        <w:rPr>
          <w:sz w:val="20"/>
        </w:rPr>
        <w:t>прошло</w:t>
      </w:r>
      <w:r w:rsidR="00EF014C" w:rsidRPr="00AA5056">
        <w:rPr>
          <w:sz w:val="20"/>
        </w:rPr>
        <w:t xml:space="preserve"> </w:t>
      </w:r>
      <w:r w:rsidR="00E50824" w:rsidRPr="00AA5056">
        <w:rPr>
          <w:sz w:val="20"/>
        </w:rPr>
        <w:t xml:space="preserve">23 сентября 2014 года. В рамках этого мероприятия </w:t>
      </w:r>
      <w:r w:rsidR="00EF014C">
        <w:rPr>
          <w:sz w:val="20"/>
        </w:rPr>
        <w:t>акцент</w:t>
      </w:r>
      <w:r w:rsidR="00E50824" w:rsidRPr="00AA5056">
        <w:rPr>
          <w:sz w:val="20"/>
        </w:rPr>
        <w:t xml:space="preserve"> был сделан на вкладе и правах коренных народов, признанных в ряде международных документов, включая Декларацию Организации Объединенных Наций о правах коренных народов, Конвенцию №</w:t>
      </w:r>
      <w:r w:rsidR="00440D52">
        <w:rPr>
          <w:sz w:val="20"/>
          <w:lang w:val="en-US"/>
        </w:rPr>
        <w:t> </w:t>
      </w:r>
      <w:r w:rsidR="00E50824" w:rsidRPr="00AA5056">
        <w:rPr>
          <w:sz w:val="20"/>
        </w:rPr>
        <w:t xml:space="preserve">169 Международной организации труда (МОТ) </w:t>
      </w:r>
      <w:r w:rsidR="00EF014C">
        <w:rPr>
          <w:sz w:val="20"/>
        </w:rPr>
        <w:t>«О</w:t>
      </w:r>
      <w:r w:rsidR="00E50824" w:rsidRPr="00AA5056">
        <w:rPr>
          <w:sz w:val="20"/>
        </w:rPr>
        <w:t xml:space="preserve"> коренных народах и народах, ведущих племенной образ жизни</w:t>
      </w:r>
      <w:r w:rsidR="002A7450">
        <w:rPr>
          <w:sz w:val="20"/>
        </w:rPr>
        <w:t>»</w:t>
      </w:r>
      <w:r w:rsidR="00CD46AF" w:rsidRPr="00CD46AF">
        <w:rPr>
          <w:sz w:val="20"/>
        </w:rPr>
        <w:t xml:space="preserve"> </w:t>
      </w:r>
      <w:r w:rsidR="00CD46AF">
        <w:rPr>
          <w:sz w:val="20"/>
        </w:rPr>
        <w:t>(1989 год)</w:t>
      </w:r>
      <w:r w:rsidR="00E50824" w:rsidRPr="00AA5056">
        <w:rPr>
          <w:sz w:val="20"/>
        </w:rPr>
        <w:t xml:space="preserve">, Конвенцию о биологическом разнообразии и Добровольные руководящие принципы ответственного регулирования вопросов владения и пользования земельными, рыбными и лесными ресурсами в контексте национальной продовольственной безопасности; </w:t>
      </w:r>
    </w:p>
    <w:p w:rsidR="00E50824" w:rsidRPr="00AA5056" w:rsidRDefault="00080C85" w:rsidP="00726019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g</w:t>
      </w:r>
      <w:r w:rsidRPr="00080C85">
        <w:rPr>
          <w:sz w:val="20"/>
        </w:rPr>
        <w:t>)</w:t>
      </w:r>
      <w:r w:rsidRPr="00080C85">
        <w:rPr>
          <w:sz w:val="20"/>
        </w:rPr>
        <w:tab/>
      </w:r>
      <w:r w:rsidR="00E50824" w:rsidRPr="00AA5056">
        <w:rPr>
          <w:sz w:val="20"/>
        </w:rPr>
        <w:t>в ходе третьей Научной конференции в рамках Конвенции Организации Объединенных Наций по борьбе с опустыниванием в тех странах, которые испытывают серьезную засуху и/или опустынивание, особенно в Африке, состоявшейся в марте 2015 года в Канкуне, Мексика, ЮНЕП в сотрудничестве с Между</w:t>
      </w:r>
      <w:r w:rsidR="00DC520B">
        <w:rPr>
          <w:sz w:val="20"/>
        </w:rPr>
        <w:t xml:space="preserve">народным союзом охраны природы </w:t>
      </w:r>
      <w:r w:rsidR="002A7450">
        <w:rPr>
          <w:sz w:val="20"/>
        </w:rPr>
        <w:t xml:space="preserve">начала проведение </w:t>
      </w:r>
      <w:r w:rsidR="00E50824" w:rsidRPr="00AA5056">
        <w:rPr>
          <w:sz w:val="20"/>
        </w:rPr>
        <w:t>исследовани</w:t>
      </w:r>
      <w:r w:rsidR="002A7450">
        <w:rPr>
          <w:sz w:val="20"/>
        </w:rPr>
        <w:t>я</w:t>
      </w:r>
      <w:r w:rsidR="00E50824" w:rsidRPr="00AA5056">
        <w:rPr>
          <w:sz w:val="20"/>
        </w:rPr>
        <w:t xml:space="preserve"> под названием «Пасторализм и «зеленая» экономика – естественная связь? Состояние, вызовы и последствия для политики». В исследовании сделан упор на нынешнем и будущем потенциале пасторализма для обеспечения устойчивого управления и получения экологически чистой продукции от мировых пастбищных угодий. В нем обобщены имеющиеся данные и используются практические примеры мобильного пасторализма в Европе, Латинской Америке, Северной Америке, Азии, Австралии и Африке. В исследовании показаны внутренние черты, присущие этой системе, важные для адаптации к устойчивости и некоторые основные возможности и вызовы в области содействия освоению пастбищных угодий. В заключение в исследовании определяются ключевые благоприятные условия, необходимые для того, чтобы пасторализм сыграл свою потенциальную роль в «зеленой» экономике. Позднее это исследование было представлено на Глобальном земельном форуме 2015 года, организованном Международной земельной коалицией в мае 2015 года в Дакаре, и на Глобальном ландшафтном форуме 2015 года, состоявшемся в декабре 2015 года в Париже;</w:t>
      </w:r>
    </w:p>
    <w:p w:rsidR="00E50824" w:rsidRPr="00AA5056" w:rsidRDefault="00080C85" w:rsidP="00726019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h</w:t>
      </w:r>
      <w:r w:rsidRPr="00080C85">
        <w:rPr>
          <w:sz w:val="20"/>
        </w:rPr>
        <w:t>)</w:t>
      </w:r>
      <w:r w:rsidRPr="00080C85">
        <w:rPr>
          <w:sz w:val="20"/>
        </w:rPr>
        <w:tab/>
      </w:r>
      <w:r w:rsidR="00E50824" w:rsidRPr="00AA5056">
        <w:rPr>
          <w:sz w:val="20"/>
        </w:rPr>
        <w:t xml:space="preserve">ЮНЕП </w:t>
      </w:r>
      <w:r w:rsidR="002A7450">
        <w:rPr>
          <w:sz w:val="20"/>
        </w:rPr>
        <w:t xml:space="preserve">выпустила </w:t>
      </w:r>
      <w:r w:rsidR="00E50824" w:rsidRPr="00AA5056">
        <w:rPr>
          <w:sz w:val="20"/>
        </w:rPr>
        <w:t xml:space="preserve">доклад </w:t>
      </w:r>
      <w:r w:rsidR="002A7450">
        <w:rPr>
          <w:sz w:val="20"/>
        </w:rPr>
        <w:t xml:space="preserve">о проекте </w:t>
      </w:r>
      <w:r w:rsidR="00E50824" w:rsidRPr="00AA5056">
        <w:rPr>
          <w:sz w:val="20"/>
        </w:rPr>
        <w:t xml:space="preserve">«Многообразие путей </w:t>
      </w:r>
      <w:r w:rsidR="002A7450">
        <w:rPr>
          <w:sz w:val="20"/>
        </w:rPr>
        <w:t xml:space="preserve">для </w:t>
      </w:r>
      <w:r w:rsidR="00E50824" w:rsidRPr="00AA5056">
        <w:rPr>
          <w:sz w:val="20"/>
        </w:rPr>
        <w:t>достижени</w:t>
      </w:r>
      <w:r w:rsidR="002A7450">
        <w:rPr>
          <w:sz w:val="20"/>
        </w:rPr>
        <w:t>я</w:t>
      </w:r>
      <w:r w:rsidR="00E50824" w:rsidRPr="00AA5056">
        <w:rPr>
          <w:sz w:val="20"/>
        </w:rPr>
        <w:t xml:space="preserve"> устойчивого развития: первоначальные выводы на основе опыта глобального Юга», который был неофициально представлен на семинаре-практикуме, состоявшемся в апреле 2015 года в Сеуле. На официальной презентации, состоявшейся в июле 2015 года в Женеве, присутствовали представители </w:t>
      </w:r>
      <w:r w:rsidR="002A7450">
        <w:rPr>
          <w:sz w:val="20"/>
        </w:rPr>
        <w:t>17</w:t>
      </w:r>
      <w:r w:rsidR="002A7450" w:rsidRPr="00AA5056">
        <w:rPr>
          <w:sz w:val="20"/>
        </w:rPr>
        <w:t xml:space="preserve"> </w:t>
      </w:r>
      <w:r w:rsidR="00E50824" w:rsidRPr="00AA5056">
        <w:rPr>
          <w:sz w:val="20"/>
        </w:rPr>
        <w:t xml:space="preserve">постоянных представительств при Организации Объединенных Наций и ряд международных и неправительственных организаций, которые провели дискуссию </w:t>
      </w:r>
      <w:r w:rsidR="002A7450">
        <w:rPr>
          <w:sz w:val="20"/>
        </w:rPr>
        <w:t xml:space="preserve">в группе </w:t>
      </w:r>
      <w:r w:rsidR="00E50824" w:rsidRPr="00AA5056">
        <w:rPr>
          <w:sz w:val="20"/>
        </w:rPr>
        <w:t xml:space="preserve">по различным путям достижения устойчивого развития, основанную на итогах вышеуказанных семинаров-практикумов, включая предложенные новые Цели в области устойчивого развития. </w:t>
      </w:r>
    </w:p>
    <w:p w:rsidR="00E50824" w:rsidRPr="00771C30" w:rsidRDefault="00E50824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771C30">
        <w:rPr>
          <w:b/>
          <w:sz w:val="24"/>
          <w:szCs w:val="24"/>
        </w:rPr>
        <w:tab/>
        <w:t>C.</w:t>
      </w:r>
      <w:r w:rsidRPr="00771C30">
        <w:rPr>
          <w:b/>
          <w:sz w:val="24"/>
          <w:szCs w:val="24"/>
        </w:rPr>
        <w:tab/>
        <w:t>Обновление концепции «зеленой» экономики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18.</w:t>
      </w:r>
      <w:r w:rsidRPr="001B5DA1">
        <w:rPr>
          <w:sz w:val="20"/>
        </w:rPr>
        <w:tab/>
      </w:r>
      <w:r w:rsidR="00E50824" w:rsidRPr="00AA5056">
        <w:rPr>
          <w:sz w:val="20"/>
        </w:rPr>
        <w:t xml:space="preserve">После завершения Конференции Организации Объединенных Наций по устойчивому развитию в Рио-де-Жанейро в 2012 году и в соответствии с решением 27/8 Совета управляющих и резолюцией 1/10 Ассамблея Организации Объединенных Наций по окружающей среде ЮНЕП приступила к внутреннему обсуждению и привлекла Международный институт устойчивого развития к изучению путей, с помощью которых ЮНЕП могла бы эффективнее реагировать на просьбы стран об оказании поддержки, которые отражали бы широкое многообразие национальных условий. </w:t>
      </w:r>
      <w:r w:rsidR="002A7450">
        <w:rPr>
          <w:sz w:val="20"/>
        </w:rPr>
        <w:t>И</w:t>
      </w:r>
      <w:r w:rsidR="00E50824" w:rsidRPr="00AA5056">
        <w:rPr>
          <w:sz w:val="20"/>
        </w:rPr>
        <w:t xml:space="preserve">нститут </w:t>
      </w:r>
      <w:r w:rsidR="005B5F52">
        <w:rPr>
          <w:sz w:val="20"/>
        </w:rPr>
        <w:t>пришел к выводу, что концепцию «</w:t>
      </w:r>
      <w:r w:rsidR="00E50824" w:rsidRPr="00AA5056">
        <w:rPr>
          <w:sz w:val="20"/>
        </w:rPr>
        <w:t xml:space="preserve">зеленой» экономики ЮНЕП следует обновить с тем, чтобы подчеркнуть связь между планетарными границами и экономическим ростом, отразить руководящие и институциональные факторы устойчивости и сделать больший упор на средствах, с помощью которых «зеленая» экономика могла бы </w:t>
      </w:r>
      <w:r w:rsidR="002A7450">
        <w:rPr>
          <w:sz w:val="20"/>
        </w:rPr>
        <w:t>смягчить</w:t>
      </w:r>
      <w:r w:rsidR="002A7450" w:rsidRPr="00AA5056">
        <w:rPr>
          <w:sz w:val="20"/>
        </w:rPr>
        <w:t xml:space="preserve"> </w:t>
      </w:r>
      <w:r w:rsidR="00E50824" w:rsidRPr="00AA5056">
        <w:rPr>
          <w:sz w:val="20"/>
        </w:rPr>
        <w:t>рост неравенства.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19.</w:t>
      </w:r>
      <w:r w:rsidRPr="001B5DA1">
        <w:rPr>
          <w:sz w:val="20"/>
        </w:rPr>
        <w:tab/>
      </w:r>
      <w:r w:rsidR="00E50824" w:rsidRPr="00AA5056">
        <w:rPr>
          <w:sz w:val="20"/>
        </w:rPr>
        <w:t xml:space="preserve">С учетом выводов, сделанных по итогам внутреннего обсуждения, ЮНЕП разработала концепцию инклюзивной «зеленой» экономики, подготовленную в консультации с большим </w:t>
      </w:r>
      <w:r w:rsidR="00E50824" w:rsidRPr="00AA5056">
        <w:rPr>
          <w:sz w:val="20"/>
        </w:rPr>
        <w:lastRenderedPageBreak/>
        <w:t>числом внутренних заинтересованных сторон из различных программных областей работы Организации. Понятие инклюзивной «зеленой» экономики значительно расширяет первоначальную концепцию «зеленой» экономики, описывая то, как «зеленая» экономика может помочь в решении смежных вопросов, таких как здоровье, растущее неравенство и связь человека с природой. Делая упор на институтах, руководстве и нормах и правилах, лежащих в основе принятия решений, затрагивающих общество, и рыночного поведения, понятие инклюзивной «зеленой» экономики может помочь переключить внимание и финансовые потоки на обеспечение более эффективного управления нашим общим богатством и природными ресурсами.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20.</w:t>
      </w:r>
      <w:r w:rsidRPr="001B5DA1">
        <w:rPr>
          <w:sz w:val="20"/>
        </w:rPr>
        <w:tab/>
      </w:r>
      <w:r w:rsidR="00E50824" w:rsidRPr="00AA5056">
        <w:rPr>
          <w:sz w:val="20"/>
        </w:rPr>
        <w:t>В упрощенном виде инклюзивная «зеленая» экономика представляет собой низкоуглеродную экономику, являющуюся эффективной и чистой с точки зрения производства и инклюзивной в плане потребления и результатов и основанную на принципах взаимообмена, взаимозависимости, солидарности, жизнестойкости, возможности и взаимосвязанности. Она сфокусирована на расширении вариантов и возможностей выбора для национальных экономик, используя целевые и надлежащие механизмы финансовой и социальной политики и опираясь на сильные институты, конкретно предназначенные для защиты социальных и экологических интересов. Инклюзивная «зеленая» экономика обеспечивает равные права женщин и мужчин, особенно из бедных и уязвимых слоев населения, на экономические ресурсы, основные услуги, владение и управление землей и другими формами собственности, наследство, природные ресурсы, надлежащие новые технологии и финансовые услуги, включая микрофинансирование, как это указано в цели №1 Целей в области устойчивого развития, касающейся повсеместной ликвидации нищеты во всех ее формах.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21.</w:t>
      </w:r>
      <w:r w:rsidRPr="001B5DA1">
        <w:rPr>
          <w:sz w:val="20"/>
        </w:rPr>
        <w:tab/>
      </w:r>
      <w:r w:rsidR="00E50824" w:rsidRPr="00AA5056">
        <w:rPr>
          <w:sz w:val="20"/>
        </w:rPr>
        <w:t>В ходе дискуссионного форума высокого уровня в рамках Встречи Организации Объединенных Наций на высшем уровне по принятию повестки дня в области развития на период после 2015 года, состоявшейся в Нью-Йорке в сентябре 2015 года, Директор</w:t>
      </w:r>
      <w:r w:rsidR="004D22CA" w:rsidRPr="004D22CA">
        <w:rPr>
          <w:sz w:val="20"/>
        </w:rPr>
        <w:noBreakHyphen/>
      </w:r>
      <w:r w:rsidR="00E50824" w:rsidRPr="00AA5056">
        <w:rPr>
          <w:sz w:val="20"/>
        </w:rPr>
        <w:t>исполнитель ЮНЕП представил документ об инклюзивном подходе к «зеленой» экономике под названием «Поиск путей к созданию инклюзивной «зеленой» экономики: резюме для руководителей»</w:t>
      </w:r>
      <w:r w:rsidR="002A7450">
        <w:rPr>
          <w:sz w:val="20"/>
        </w:rPr>
        <w:t xml:space="preserve"> (ЮНЕП, 2015 год)</w:t>
      </w:r>
      <w:r w:rsidR="00E50824" w:rsidRPr="00AA5056">
        <w:rPr>
          <w:sz w:val="20"/>
        </w:rPr>
        <w:t xml:space="preserve">. 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22.</w:t>
      </w:r>
      <w:r w:rsidRPr="001B5DA1">
        <w:rPr>
          <w:sz w:val="20"/>
        </w:rPr>
        <w:tab/>
      </w:r>
      <w:r w:rsidR="00E50824" w:rsidRPr="00AA5056">
        <w:rPr>
          <w:sz w:val="20"/>
        </w:rPr>
        <w:t xml:space="preserve">В ноябре 2015 года Партнерство за действия в интересах «зеленой» экономики, являющееся совместной инициативой Международной организации труда, Программы развития Организации Объединенных Наций, ЮНЕП, Организации Объединенных Наций по промышленному развитию и Учебного и научно-исследовательского института Организации Объединенных Наций, организовало недельный Региональный форум по проблемам «зеленой» экономики для Латинской Америки, состоявшейся в Картахене, Колумбия, для поддержки анализа, распространения и обмена знаниями и опытом, инструментами политики и стратегиями в целях содействия созданию «зеленой» и инклюзивной экономики в странах Латинской Америки. С учетом особого интереса, проявленного к этому региону в решении 27/8 Совета управляющих и резолюции 1/10 Ассамблеи Организации Объединенных Наций по окружающей среде, ЮНЕП выступила с заявлением перед участниками Форума на пленарном заседании, рассказав о концепции инклюзивной «зеленой» экономики и о работе ЮНЕП над разнообразными путями к достижению устойчивого развития, что помогло повысить информированность этого региона об усилиях ЮНЕП в этой связи. </w:t>
      </w:r>
    </w:p>
    <w:p w:rsidR="00E50824" w:rsidRPr="00771C30" w:rsidRDefault="00E50824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771C30">
        <w:rPr>
          <w:b/>
          <w:sz w:val="24"/>
          <w:szCs w:val="24"/>
        </w:rPr>
        <w:tab/>
        <w:t>D.</w:t>
      </w:r>
      <w:r w:rsidRPr="00771C30">
        <w:rPr>
          <w:b/>
          <w:sz w:val="24"/>
          <w:szCs w:val="24"/>
        </w:rPr>
        <w:tab/>
        <w:t>Инклюзивная «зеленая» экономика и Цели в области устойчивого развития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23.</w:t>
      </w:r>
      <w:r w:rsidRPr="001B5DA1">
        <w:rPr>
          <w:sz w:val="20"/>
        </w:rPr>
        <w:tab/>
      </w:r>
      <w:r w:rsidR="00E50824" w:rsidRPr="00AA5056">
        <w:rPr>
          <w:sz w:val="20"/>
        </w:rPr>
        <w:t xml:space="preserve">Цели в области устойчивого развития предоставляют возможность сфокусировать экономическую политику на основных элементах устойчивости, и достижение этих целей является ключевым элементом Повестки дня на период до 2030 года. Хотя переход к инклюзивной «зеленой» экономике может способствовать достижению многих из этих </w:t>
      </w:r>
      <w:r w:rsidR="002A7450">
        <w:rPr>
          <w:sz w:val="20"/>
        </w:rPr>
        <w:t>ц</w:t>
      </w:r>
      <w:r w:rsidR="002A7450" w:rsidRPr="00AA5056">
        <w:rPr>
          <w:sz w:val="20"/>
        </w:rPr>
        <w:t>елей</w:t>
      </w:r>
      <w:r w:rsidR="00E50824" w:rsidRPr="00AA5056">
        <w:rPr>
          <w:sz w:val="20"/>
        </w:rPr>
        <w:t xml:space="preserve">, различные элементы и связанные с ними стратегии создания такой экономики имеют самое непосредственное отношение к достижению </w:t>
      </w:r>
      <w:r w:rsidR="002A7450">
        <w:rPr>
          <w:sz w:val="20"/>
        </w:rPr>
        <w:t>ц</w:t>
      </w:r>
      <w:r w:rsidR="002A7450" w:rsidRPr="00AA5056">
        <w:rPr>
          <w:sz w:val="20"/>
        </w:rPr>
        <w:t xml:space="preserve">ели </w:t>
      </w:r>
      <w:r w:rsidR="00E50824" w:rsidRPr="00AA5056">
        <w:rPr>
          <w:sz w:val="20"/>
        </w:rPr>
        <w:t xml:space="preserve">№8, касающейся обеспечения достойной работы и устойчивого экономического роста, и </w:t>
      </w:r>
      <w:r w:rsidR="002A7450">
        <w:rPr>
          <w:sz w:val="20"/>
        </w:rPr>
        <w:t>ц</w:t>
      </w:r>
      <w:r w:rsidR="002A7450" w:rsidRPr="00AA5056">
        <w:rPr>
          <w:sz w:val="20"/>
        </w:rPr>
        <w:t xml:space="preserve">ели </w:t>
      </w:r>
      <w:r w:rsidR="00E50824" w:rsidRPr="00AA5056">
        <w:rPr>
          <w:sz w:val="20"/>
        </w:rPr>
        <w:t>№12, касающейся ответственного потребления и производства. За счет упора на сохранение и создание природного капитала и общественного богатства, технических инноваций и новых рабочих мест инклюзивная «зеленая» экономика может способствовать длительному, инклюзивному и устойчивому экономическому росту, полной и продуктивной занятости и достойной работы для всех (Цель</w:t>
      </w:r>
      <w:r>
        <w:rPr>
          <w:sz w:val="20"/>
          <w:lang w:val="en-US"/>
        </w:rPr>
        <w:t> </w:t>
      </w:r>
      <w:r w:rsidR="00E50824" w:rsidRPr="00AA5056">
        <w:rPr>
          <w:sz w:val="20"/>
        </w:rPr>
        <w:t>№8). Инклюзивный подход к «зеленой» экономике может во многом помочь достичь этого за счет дополнения работы по созданию потенциала в контексте десятилетних рамочных программ по моделям устойчивого потребления и производства путем содействия осуществлению целого ряда стратегий и мер, перенацеливающих государственные и частные инвестиции на изменение структур потребления и производства (</w:t>
      </w:r>
      <w:r w:rsidR="002A7450">
        <w:rPr>
          <w:sz w:val="20"/>
        </w:rPr>
        <w:t>ц</w:t>
      </w:r>
      <w:r w:rsidR="002A7450" w:rsidRPr="00AA5056">
        <w:rPr>
          <w:sz w:val="20"/>
        </w:rPr>
        <w:t xml:space="preserve">ель </w:t>
      </w:r>
      <w:r w:rsidR="00E50824" w:rsidRPr="00AA5056">
        <w:rPr>
          <w:sz w:val="20"/>
        </w:rPr>
        <w:t xml:space="preserve">№12). </w:t>
      </w:r>
    </w:p>
    <w:p w:rsidR="00E50824" w:rsidRPr="00771C30" w:rsidRDefault="00E50824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771C30">
        <w:rPr>
          <w:b/>
          <w:sz w:val="24"/>
          <w:szCs w:val="24"/>
        </w:rPr>
        <w:lastRenderedPageBreak/>
        <w:tab/>
        <w:t>E.</w:t>
      </w:r>
      <w:r w:rsidRPr="00771C30">
        <w:rPr>
          <w:b/>
          <w:sz w:val="24"/>
          <w:szCs w:val="24"/>
        </w:rPr>
        <w:tab/>
        <w:t>Устойчивое потребление и производство и десятилетние рамочные программы по моделям устойчивого потребления и производства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24.</w:t>
      </w:r>
      <w:r w:rsidRPr="001B5DA1">
        <w:rPr>
          <w:sz w:val="20"/>
        </w:rPr>
        <w:tab/>
      </w:r>
      <w:r w:rsidR="00E50824" w:rsidRPr="00AA5056">
        <w:rPr>
          <w:sz w:val="20"/>
        </w:rPr>
        <w:t>Конференция Организации Объединенных Наций по устойчивому развитию подтвердила важность поощрения моделей устойчивого потребления и производства в качестве одной из трех главных целей и основных требований устойчивого развития. На этой Конференции главы государств и правительств приняли десятилетние рамочные программы по моделям устойчивого потребления и производства в качестве глобальной основы для действий по ускорению перехода к устойчивому потреблению и производству как в развитых, так и в развивающихся странах. Важная роль устойчивого потребления и производства как составной части Повестки дня в области устойчивого развития на период до 2030 года была подтверждена включением в Повестку дня в области устойчивого развития отдельного положения о создании моделей устойчивого потребления и производства</w:t>
      </w:r>
      <w:r w:rsidR="002A7450">
        <w:rPr>
          <w:sz w:val="20"/>
        </w:rPr>
        <w:t xml:space="preserve"> (цель №12)</w:t>
      </w:r>
      <w:r w:rsidR="00E50824" w:rsidRPr="00AA5056">
        <w:rPr>
          <w:sz w:val="20"/>
        </w:rPr>
        <w:t xml:space="preserve"> в качестве одной из целей, утвержденных на Встрече Организации Объединенных Наций на высшем уровне по принятию Повестки дня в области развития на период после 2015 года.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25.</w:t>
      </w:r>
      <w:r w:rsidRPr="001B5DA1">
        <w:rPr>
          <w:sz w:val="20"/>
        </w:rPr>
        <w:tab/>
      </w:r>
      <w:r w:rsidR="00E50824" w:rsidRPr="00AA5056">
        <w:rPr>
          <w:sz w:val="20"/>
        </w:rPr>
        <w:t>«Поход, опирающийся на знания о полном жизненном цикле», который определяется как «наилучший подход к пониманию того, как наш выбор влияет на то, что происходит на каждой стадии жизненного цикла того или иного вида промышленной деятельности от приобретения сырья до производства, распределения, использования и удаления продукта», является стержнем усилий, которые должны регулировать переход к моделям устойчивого потребления и производства таким образом, чтобы избегать перераспределения экологического и социального воздействия между стадиями жизненного цикла. Поход, опирающийся на знания о полном жизненном цикле, служит прочной научной основой для перехода к моделям устойчивого потребления и производства, которые также должны находить отражение в стратегиях и усилиях, способствующих переходу к инклюзивной «зеленой» экономике. Для того чтобы быть эффективным, данный подход должен использоваться правительствами, промышленностью и потребителями с учетом влияния всех этих сторон на модели производства и потребления. По этой причине при разработке и осуществлении стратегий и других мер по обеспечению устойчивого потребления и производства необходимо использовать подход, основанный на участии всех заинтересованных сторон, для того чтобы влиять на производство и потребность в товарах и услугах, более устойчивых и эффективных с точки зрения использования ресурсов.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26.</w:t>
      </w:r>
      <w:r w:rsidRPr="001B5DA1">
        <w:rPr>
          <w:sz w:val="20"/>
        </w:rPr>
        <w:tab/>
      </w:r>
      <w:r w:rsidR="00E50824" w:rsidRPr="00AA5056">
        <w:rPr>
          <w:sz w:val="20"/>
        </w:rPr>
        <w:t>Поход, опирающийся на знания о полном жизненном цикле, и меры по содействию переходу к моделям устойчивого потребления и производства также лежат в основе усилий по созданию многооборотной экономики, которая, согласно Фонду Эллен Макартур, является «восстановительной и регенерационной по своей структуре и преследует цель обеспечить постоянное сохранение максимальной полезности и ценности товаров, компонентов и материалов»</w:t>
      </w:r>
      <w:r w:rsidR="00E85E66" w:rsidRPr="00E85E66">
        <w:rPr>
          <w:sz w:val="20"/>
          <w:vertAlign w:val="superscript"/>
        </w:rPr>
        <w:footnoteReference w:id="2"/>
      </w:r>
      <w:r w:rsidR="00E50824" w:rsidRPr="00AA5056">
        <w:rPr>
          <w:sz w:val="20"/>
        </w:rPr>
        <w:t xml:space="preserve">. Многооборотная экономика проводит различие между техническими и биологическими циклами и нацелена на максимальное сокращение количества отходов, возвращение питательных элементов и водные бассейны в экосистемы и повторное использование технического сырья. Ее поддерживают экосистемы природного мира, которые в своем </w:t>
      </w:r>
      <w:r w:rsidR="002A7450">
        <w:rPr>
          <w:sz w:val="20"/>
        </w:rPr>
        <w:t>нетронутом</w:t>
      </w:r>
      <w:r w:rsidR="002A7450" w:rsidRPr="00AA5056">
        <w:rPr>
          <w:sz w:val="20"/>
        </w:rPr>
        <w:t xml:space="preserve"> </w:t>
      </w:r>
      <w:r w:rsidR="00E50824" w:rsidRPr="00AA5056">
        <w:rPr>
          <w:sz w:val="20"/>
        </w:rPr>
        <w:t>состоянии основаны на циклических потоках ресурсов и энергии и являются самодостаточными. Ценность многооборотной экономики выходит далеко за рамки простой рециркуляции и регулирования отходов: одна из ее целей состоит в том, чтобы продлить срок жизни товара, в том числе за счет повторного использования, восстановления, модернизации и переработки. Переход к многооборотной экономике требует такой же масштабной перестройки мышления и поведения потребителей, правительств и предпринимателей, которая необходима для перехода к моделям устойчивого потребления и производства.</w:t>
      </w:r>
    </w:p>
    <w:p w:rsidR="00E50824" w:rsidRPr="00AA5056" w:rsidRDefault="001B5DA1" w:rsidP="00E50824">
      <w:pPr>
        <w:spacing w:after="120"/>
        <w:ind w:left="1247"/>
        <w:rPr>
          <w:sz w:val="20"/>
        </w:rPr>
      </w:pPr>
      <w:r w:rsidRPr="001B5DA1">
        <w:rPr>
          <w:sz w:val="20"/>
        </w:rPr>
        <w:t>27.</w:t>
      </w:r>
      <w:r w:rsidRPr="001B5DA1">
        <w:rPr>
          <w:sz w:val="20"/>
        </w:rPr>
        <w:tab/>
      </w:r>
      <w:r w:rsidR="00E50824" w:rsidRPr="00AA5056">
        <w:rPr>
          <w:sz w:val="20"/>
        </w:rPr>
        <w:t xml:space="preserve">Хотя </w:t>
      </w:r>
      <w:r w:rsidR="00C60A15" w:rsidRPr="00AA5056">
        <w:rPr>
          <w:sz w:val="20"/>
        </w:rPr>
        <w:t>б</w:t>
      </w:r>
      <w:r w:rsidR="00C60A15">
        <w:rPr>
          <w:sz w:val="20"/>
        </w:rPr>
        <w:t>ó</w:t>
      </w:r>
      <w:r w:rsidR="00C60A15" w:rsidRPr="00AA5056">
        <w:rPr>
          <w:sz w:val="20"/>
        </w:rPr>
        <w:t xml:space="preserve">льшая </w:t>
      </w:r>
      <w:r w:rsidR="00E50824" w:rsidRPr="00AA5056">
        <w:rPr>
          <w:sz w:val="20"/>
        </w:rPr>
        <w:t>часть работы, осуществленной к настоящему времени ЮНЕП в области устойчивого потребления и производства, была сфокусирована на глобальном, региональном и национальном уровнях, все большее внимание в последнее время уделяется мероприятиям на субнациональном уровне, особенно в городах, в которых сейчас сосредоточено более 50</w:t>
      </w:r>
      <w:r w:rsidR="00C60A15">
        <w:rPr>
          <w:sz w:val="20"/>
        </w:rPr>
        <w:t> </w:t>
      </w:r>
      <w:r w:rsidR="00E50824" w:rsidRPr="00AA5056">
        <w:rPr>
          <w:sz w:val="20"/>
        </w:rPr>
        <w:t>процентов населения планеты и которые являются важными центрами потребления ресурсов, определяющими качество жизни и состояние здоровья их жителей</w:t>
      </w:r>
      <w:r w:rsidR="002A7450">
        <w:rPr>
          <w:sz w:val="20"/>
        </w:rPr>
        <w:t>. С</w:t>
      </w:r>
      <w:r w:rsidR="00E50824" w:rsidRPr="00AA5056">
        <w:rPr>
          <w:sz w:val="20"/>
        </w:rPr>
        <w:t>огласно опубликованному ЮНЕП в 2011 году</w:t>
      </w:r>
      <w:r w:rsidR="002A7450">
        <w:rPr>
          <w:sz w:val="20"/>
        </w:rPr>
        <w:t xml:space="preserve"> докладу «</w:t>
      </w:r>
      <w:r w:rsidR="0031580D">
        <w:rPr>
          <w:sz w:val="20"/>
        </w:rPr>
        <w:t>Навстречу «зеленой» экономике: пути достижения устойчивого развития и искоренения нищеты»</w:t>
      </w:r>
      <w:r w:rsidR="00E50824" w:rsidRPr="00AA5056">
        <w:rPr>
          <w:sz w:val="20"/>
        </w:rPr>
        <w:t>, «при доле населен</w:t>
      </w:r>
      <w:r w:rsidR="004331DE">
        <w:rPr>
          <w:sz w:val="20"/>
        </w:rPr>
        <w:t xml:space="preserve">ия немногим более 50 процентов </w:t>
      </w:r>
      <w:r w:rsidR="00E50824" w:rsidRPr="00AA5056">
        <w:rPr>
          <w:sz w:val="20"/>
        </w:rPr>
        <w:t>и занимаемой площади менее 2 процентов поверхности Земли на долю городских районов приходится 80 процентов экономического производства, от 60 до 80</w:t>
      </w:r>
      <w:r w:rsidR="00F356A9">
        <w:rPr>
          <w:sz w:val="20"/>
          <w:lang w:val="en-US"/>
        </w:rPr>
        <w:t> </w:t>
      </w:r>
      <w:r w:rsidR="00E50824" w:rsidRPr="00AA5056">
        <w:rPr>
          <w:sz w:val="20"/>
        </w:rPr>
        <w:t>процентов потребления энергии и около 75 процентов выбросов CO</w:t>
      </w:r>
      <w:r w:rsidR="00E50824" w:rsidRPr="00C60A15">
        <w:rPr>
          <w:sz w:val="20"/>
          <w:vertAlign w:val="subscript"/>
        </w:rPr>
        <w:t>2</w:t>
      </w:r>
      <w:r w:rsidR="00E50824" w:rsidRPr="00AA5056">
        <w:rPr>
          <w:sz w:val="20"/>
        </w:rPr>
        <w:t>»</w:t>
      </w:r>
      <w:r w:rsidR="00E85E66" w:rsidRPr="00E85E66">
        <w:rPr>
          <w:sz w:val="20"/>
        </w:rPr>
        <w:t xml:space="preserve"> </w:t>
      </w:r>
      <w:r w:rsidR="008711E0">
        <w:rPr>
          <w:sz w:val="20"/>
        </w:rPr>
        <w:t>(стр. 461)</w:t>
      </w:r>
      <w:r w:rsidR="00E50824" w:rsidRPr="00AA5056">
        <w:rPr>
          <w:sz w:val="20"/>
        </w:rPr>
        <w:t xml:space="preserve">. В </w:t>
      </w:r>
      <w:r w:rsidR="00E50824" w:rsidRPr="00AA5056">
        <w:rPr>
          <w:sz w:val="20"/>
        </w:rPr>
        <w:lastRenderedPageBreak/>
        <w:t>ближайшие годы в городских районах ожидается значительный рост урбанизации и числа потребителей, относящихся к среднему классу; ожидается, что увеличивающийся «глобальный средний класс», численность которого, по оценкам, составляла в 2009 году 1,8 млрд. человек, будет иметь б</w:t>
      </w:r>
      <w:r w:rsidR="00C60A15">
        <w:rPr>
          <w:sz w:val="20"/>
        </w:rPr>
        <w:t>ó</w:t>
      </w:r>
      <w:r w:rsidR="00E50824" w:rsidRPr="00AA5056">
        <w:rPr>
          <w:sz w:val="20"/>
        </w:rPr>
        <w:t xml:space="preserve">льшую продолжительность жизни и достигнет 4,9 млрд. человек к 2030 году, а также будет обладать большей покупательной способностью. Однако несмотря на то, что </w:t>
      </w:r>
      <w:r w:rsidR="008711E0">
        <w:rPr>
          <w:sz w:val="20"/>
        </w:rPr>
        <w:t>города</w:t>
      </w:r>
      <w:r w:rsidR="008711E0" w:rsidRPr="00AA5056">
        <w:rPr>
          <w:sz w:val="20"/>
        </w:rPr>
        <w:t xml:space="preserve"> </w:t>
      </w:r>
      <w:r w:rsidR="00E50824" w:rsidRPr="00AA5056">
        <w:rPr>
          <w:sz w:val="20"/>
        </w:rPr>
        <w:t xml:space="preserve">являются источником многих экологических проблем, </w:t>
      </w:r>
      <w:r w:rsidR="008711E0">
        <w:rPr>
          <w:sz w:val="20"/>
        </w:rPr>
        <w:t>они</w:t>
      </w:r>
      <w:r w:rsidR="008711E0" w:rsidRPr="00AA5056">
        <w:rPr>
          <w:sz w:val="20"/>
        </w:rPr>
        <w:t xml:space="preserve"> </w:t>
      </w:r>
      <w:r w:rsidR="00E50824" w:rsidRPr="00AA5056">
        <w:rPr>
          <w:sz w:val="20"/>
        </w:rPr>
        <w:t>также могут обеспечивать структуры управления, более тесно связанные между собой общины и, тем самым, возможности для повышения эффективности использования ресурсов и формирования устойчивых стилей жизни. ЮНЕП с помощью Глобальной инициативы по ресурсосберегающим городам поддерживает всеобъемлющий подход, позволяющий городам увеличить ресурсосбережение. Работа по формированию устойчивых городов и стилей жизни может напрямую способствовать достижению некоторых из Целей в области устойчивого развития, включая цель №</w:t>
      </w:r>
      <w:r w:rsidR="005506C6" w:rsidRPr="005506C6">
        <w:rPr>
          <w:sz w:val="20"/>
        </w:rPr>
        <w:t xml:space="preserve"> </w:t>
      </w:r>
      <w:r w:rsidR="00E50824" w:rsidRPr="00AA5056">
        <w:rPr>
          <w:sz w:val="20"/>
        </w:rPr>
        <w:t>9, касающуюся промышленности, инноваций и инфраструктуры; цель №</w:t>
      </w:r>
      <w:r w:rsidR="005506C6" w:rsidRPr="005506C6">
        <w:rPr>
          <w:sz w:val="20"/>
        </w:rPr>
        <w:t xml:space="preserve"> </w:t>
      </w:r>
      <w:r w:rsidR="00E50824" w:rsidRPr="00AA5056">
        <w:rPr>
          <w:sz w:val="20"/>
        </w:rPr>
        <w:t>11, касающуюся устойчивых городов и общин; и цель №</w:t>
      </w:r>
      <w:r w:rsidR="005506C6" w:rsidRPr="005506C6">
        <w:rPr>
          <w:sz w:val="20"/>
        </w:rPr>
        <w:t xml:space="preserve"> </w:t>
      </w:r>
      <w:r w:rsidR="00E50824" w:rsidRPr="00AA5056">
        <w:rPr>
          <w:sz w:val="20"/>
        </w:rPr>
        <w:t>12, касающуюся ответственного потребления и производства.</w:t>
      </w:r>
    </w:p>
    <w:p w:rsidR="00E50824" w:rsidRPr="00AA5056" w:rsidRDefault="00D24126" w:rsidP="00E50824">
      <w:pPr>
        <w:spacing w:after="120"/>
        <w:ind w:left="1247"/>
        <w:rPr>
          <w:sz w:val="20"/>
        </w:rPr>
      </w:pPr>
      <w:r w:rsidRPr="00D24126">
        <w:rPr>
          <w:sz w:val="20"/>
        </w:rPr>
        <w:t>28.</w:t>
      </w:r>
      <w:r w:rsidRPr="00D24126">
        <w:rPr>
          <w:sz w:val="20"/>
        </w:rPr>
        <w:tab/>
      </w:r>
      <w:r w:rsidR="00E50824" w:rsidRPr="00AA5056">
        <w:rPr>
          <w:sz w:val="20"/>
        </w:rPr>
        <w:t>Десятилетние рамочные программы по моделям устойчивого потребления и производства оказывают совместное воздействие через посредство программ и партнерств с широким кругом участников, которые разрабатывают, репродуцируют и усиливают стратегии и инициативы в области устойчивого потребления и производства на всех уровнях. ЮНЕП выполняет функции секретариата, и в настоящее время существуют шесть тематических и секторальных программ, которые исполняют роль «кластеров» внутри десятилетних рамочных программ, привлекая участников, специалистов и ресурсы для оперативного обеспечения устойчивого потребления и производства во все более широких масштабах. В рамках этих усилий упор делается на региональном и национальном уровн</w:t>
      </w:r>
      <w:r w:rsidR="008A5163">
        <w:rPr>
          <w:sz w:val="20"/>
        </w:rPr>
        <w:t>ях</w:t>
      </w:r>
      <w:r w:rsidR="00E50824" w:rsidRPr="00AA5056">
        <w:rPr>
          <w:sz w:val="20"/>
        </w:rPr>
        <w:t>, и деятельность осуществляется на основе дорожных карт и через национальные координационные центры в правительствах. К данному моменту такие координационные центры были назначены 123</w:t>
      </w:r>
      <w:r w:rsidR="008A5163">
        <w:rPr>
          <w:sz w:val="20"/>
        </w:rPr>
        <w:t> </w:t>
      </w:r>
      <w:r w:rsidR="00E50824" w:rsidRPr="00AA5056">
        <w:rPr>
          <w:sz w:val="20"/>
        </w:rPr>
        <w:t>правительствами. Главная задача цели №</w:t>
      </w:r>
      <w:r w:rsidR="005506C6" w:rsidRPr="005506C6">
        <w:rPr>
          <w:sz w:val="20"/>
        </w:rPr>
        <w:t xml:space="preserve"> </w:t>
      </w:r>
      <w:r w:rsidR="00E50824" w:rsidRPr="00AA5056">
        <w:rPr>
          <w:sz w:val="20"/>
        </w:rPr>
        <w:t>12 Целей в области устойчивого развития состоит в осуществлении десятилетних рамочных программ по моделям устойчивого потребления и производства при участии всех стран, причем ведущую роль в этой связи должны исполнять развитые страны с учетом уровня развития и потенциала развивающихся стран. Десятилетние рамочные программы будут также играть важную роль в руководстве усилиями по отделению экономического роста от деградации окружающей среды, способствуя тем самым выполнению целевого зада</w:t>
      </w:r>
      <w:r w:rsidR="008711E0">
        <w:rPr>
          <w:sz w:val="20"/>
        </w:rPr>
        <w:t>чи</w:t>
      </w:r>
      <w:r w:rsidR="00E50824" w:rsidRPr="00AA5056">
        <w:rPr>
          <w:sz w:val="20"/>
        </w:rPr>
        <w:t xml:space="preserve"> 8.4 </w:t>
      </w:r>
      <w:r w:rsidR="008711E0">
        <w:rPr>
          <w:sz w:val="20"/>
        </w:rPr>
        <w:t>ц</w:t>
      </w:r>
      <w:r w:rsidR="00E50824" w:rsidRPr="00AA5056">
        <w:rPr>
          <w:sz w:val="20"/>
        </w:rPr>
        <w:t xml:space="preserve">ели </w:t>
      </w:r>
      <w:r w:rsidR="008711E0" w:rsidRPr="00AA5056">
        <w:rPr>
          <w:sz w:val="20"/>
        </w:rPr>
        <w:t>№</w:t>
      </w:r>
      <w:r w:rsidR="005506C6" w:rsidRPr="005506C6">
        <w:rPr>
          <w:sz w:val="20"/>
        </w:rPr>
        <w:t xml:space="preserve"> </w:t>
      </w:r>
      <w:r w:rsidR="008711E0" w:rsidRPr="00AA5056">
        <w:rPr>
          <w:sz w:val="20"/>
        </w:rPr>
        <w:t>8</w:t>
      </w:r>
      <w:r w:rsidR="008711E0">
        <w:rPr>
          <w:sz w:val="20"/>
        </w:rPr>
        <w:t xml:space="preserve"> </w:t>
      </w:r>
      <w:r w:rsidR="00E50824" w:rsidRPr="00AA5056">
        <w:rPr>
          <w:sz w:val="20"/>
        </w:rPr>
        <w:t xml:space="preserve">в области устойчивого развития, касающейся устойчивого экономического роста. </w:t>
      </w:r>
    </w:p>
    <w:p w:rsidR="00E50824" w:rsidRPr="00771C30" w:rsidRDefault="00E50824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771C30">
        <w:rPr>
          <w:b/>
          <w:sz w:val="24"/>
          <w:szCs w:val="24"/>
        </w:rPr>
        <w:tab/>
        <w:t>F.</w:t>
      </w:r>
      <w:r w:rsidRPr="00771C30">
        <w:rPr>
          <w:b/>
          <w:sz w:val="24"/>
          <w:szCs w:val="24"/>
        </w:rPr>
        <w:tab/>
        <w:t xml:space="preserve">Решение проблемы социального охвата: инициатива в области борьбы с нищетой и охраны окружающей среды </w:t>
      </w:r>
    </w:p>
    <w:p w:rsidR="00E50824" w:rsidRPr="00AA5056" w:rsidRDefault="00D24126" w:rsidP="00E50824">
      <w:pPr>
        <w:spacing w:after="120"/>
        <w:ind w:left="1247"/>
        <w:rPr>
          <w:sz w:val="20"/>
        </w:rPr>
      </w:pPr>
      <w:r w:rsidRPr="00D24126">
        <w:rPr>
          <w:sz w:val="20"/>
        </w:rPr>
        <w:t>29.</w:t>
      </w:r>
      <w:r w:rsidRPr="00D24126">
        <w:rPr>
          <w:sz w:val="20"/>
        </w:rPr>
        <w:tab/>
      </w:r>
      <w:r w:rsidR="00E50824" w:rsidRPr="00AA5056">
        <w:rPr>
          <w:sz w:val="20"/>
        </w:rPr>
        <w:t>Инициатива в области борьбы с нищетой и охраны окружающей среды является совместной инициативой Программы развития Организации Объединенных Наций и ЮНЕП, организованной в 2005 году, которая нацелена на осуществление крупных инновационных изменений в правительственной политике и бюджетных приоритетах в развивающихся странах и опирается на сравнительные преимущества этих двух организаций. Если говорить более конкретно, то она оказывает поддержку правительствам в усилиях по включению целей, касающихся борьбы с нищетой и обеспечения устойчивого использования окружающей среды и природных ресурсов, в планы национального развития и обеспечению их осуществления с помощью секторальных планов и бюджетов. Инициатива в области борьбы с нищетой и охраны окружающей среды содействует усилиям по созданию инклюзивной «зеленой» экономики и повышению климатической сопротивляемости в поддерживаемых странах следующим образом:</w:t>
      </w:r>
    </w:p>
    <w:p w:rsidR="00E50824" w:rsidRPr="00AA5056" w:rsidRDefault="00D24126" w:rsidP="00D24126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a</w:t>
      </w:r>
      <w:r w:rsidRPr="00D24126">
        <w:rPr>
          <w:sz w:val="20"/>
        </w:rPr>
        <w:t>)</w:t>
      </w:r>
      <w:r w:rsidRPr="00D24126">
        <w:rPr>
          <w:sz w:val="20"/>
        </w:rPr>
        <w:tab/>
      </w:r>
      <w:r w:rsidR="00E50824" w:rsidRPr="00AA5056">
        <w:rPr>
          <w:sz w:val="20"/>
        </w:rPr>
        <w:t>обеспечение того, чтобы экологическая устойчивость являлась одной из целей национального устойчивого развития и планов искоренения нищеты: национальная стратегия Кыргызстана в области устойчивого развития на период 2014-2017 годов и связанная с ней программа правительства по переходу к устойчивому развитию теперь включают в себя «зеленое» развитие, гендерное равенство и уменьшение риска бедствий в свете национальных условий и приоритетов;</w:t>
      </w:r>
    </w:p>
    <w:p w:rsidR="00E50824" w:rsidRPr="00AA5056" w:rsidRDefault="00D24126" w:rsidP="00D24126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b</w:t>
      </w:r>
      <w:r w:rsidRPr="00D24126">
        <w:rPr>
          <w:sz w:val="20"/>
        </w:rPr>
        <w:t>)</w:t>
      </w:r>
      <w:r w:rsidRPr="00D24126">
        <w:rPr>
          <w:sz w:val="20"/>
        </w:rPr>
        <w:tab/>
      </w:r>
      <w:r w:rsidR="00E50824" w:rsidRPr="00AA5056">
        <w:rPr>
          <w:sz w:val="20"/>
        </w:rPr>
        <w:t xml:space="preserve">включение показателей экологической устойчивости в национальные программы сокращения масштабов нищеты: в августе 2014 года Доминиканская Республика разработала индекс экологической уязвимости на уровне домашних хозяйств, являющийся первым индексом такого рода в мире, для воздействия на национальные механизмы социальной политики и обеспечения того, чтобы при направлении денежных потоков беднейшим слоям </w:t>
      </w:r>
      <w:r w:rsidR="00E50824" w:rsidRPr="00AA5056">
        <w:rPr>
          <w:sz w:val="20"/>
        </w:rPr>
        <w:lastRenderedPageBreak/>
        <w:t>населения также учитывалась их высокая степень незащищенности от экологических проблем и климатических бедствий;</w:t>
      </w:r>
    </w:p>
    <w:p w:rsidR="00E50824" w:rsidRPr="00AA5056" w:rsidRDefault="00D24126" w:rsidP="00D24126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c</w:t>
      </w:r>
      <w:r w:rsidRPr="00D24126">
        <w:rPr>
          <w:sz w:val="20"/>
        </w:rPr>
        <w:t>)</w:t>
      </w:r>
      <w:r w:rsidRPr="00D24126">
        <w:rPr>
          <w:sz w:val="20"/>
        </w:rPr>
        <w:tab/>
      </w:r>
      <w:r w:rsidR="00E50824" w:rsidRPr="00AA5056">
        <w:rPr>
          <w:sz w:val="20"/>
        </w:rPr>
        <w:t>включение вопросов, касающихся нищеты, окружающей среды и природных ресурсов, в системы национального учета: Бутан внедрил у себя систему учета всей массы расходов в качестве основы для своей новой системы национальных счетов с тем, чтобы дать возможность правительству разрабатывать стратегии, распределять ресурсы и представлять бюджеты, надлежащим образом учитывающие стоимость природного, человеческого и культурного капитала в дополнени</w:t>
      </w:r>
      <w:r w:rsidR="008A5163">
        <w:rPr>
          <w:sz w:val="20"/>
        </w:rPr>
        <w:t>е</w:t>
      </w:r>
      <w:r w:rsidR="00E50824" w:rsidRPr="00AA5056">
        <w:rPr>
          <w:sz w:val="20"/>
        </w:rPr>
        <w:t xml:space="preserve"> к той, которую отражают традиционные механизмы учета; и</w:t>
      </w:r>
    </w:p>
    <w:p w:rsidR="00E50824" w:rsidRPr="00AA5056" w:rsidRDefault="00D24126" w:rsidP="00D24126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d</w:t>
      </w:r>
      <w:r w:rsidRPr="00D24126">
        <w:rPr>
          <w:sz w:val="20"/>
        </w:rPr>
        <w:t>)</w:t>
      </w:r>
      <w:r w:rsidRPr="00D24126">
        <w:rPr>
          <w:sz w:val="20"/>
        </w:rPr>
        <w:tab/>
      </w:r>
      <w:r w:rsidR="00E50824" w:rsidRPr="00AA5056">
        <w:rPr>
          <w:sz w:val="20"/>
        </w:rPr>
        <w:t xml:space="preserve">мобилизация увеличенного объема финансовых обязательств правительств на цели устойчивого развития и искоренения нищеты: в Руанде был учрежден национальный фонд экологических и климатических изменений, обеспечивающий удовлетворение потребностей страны в осуществлении инвестиций </w:t>
      </w:r>
      <w:r w:rsidR="008711E0">
        <w:rPr>
          <w:sz w:val="20"/>
        </w:rPr>
        <w:t>для</w:t>
      </w:r>
      <w:r w:rsidR="00E50824" w:rsidRPr="00AA5056">
        <w:rPr>
          <w:sz w:val="20"/>
        </w:rPr>
        <w:t xml:space="preserve"> достижения целей экологической устойчивости за счет увеличения объема государственных и иных инвестиций для формирования устойчивого </w:t>
      </w:r>
      <w:r w:rsidR="008A5163">
        <w:rPr>
          <w:sz w:val="20"/>
        </w:rPr>
        <w:t xml:space="preserve">благосостояния </w:t>
      </w:r>
      <w:r w:rsidR="00E50824" w:rsidRPr="00AA5056">
        <w:rPr>
          <w:sz w:val="20"/>
        </w:rPr>
        <w:t>и сокращения масштабов нищеты. На данный момент этот фонд уже получил 37,4</w:t>
      </w:r>
      <w:r>
        <w:rPr>
          <w:sz w:val="20"/>
          <w:lang w:val="en-US"/>
        </w:rPr>
        <w:t> </w:t>
      </w:r>
      <w:r w:rsidR="00E50824" w:rsidRPr="00AA5056">
        <w:rPr>
          <w:sz w:val="20"/>
        </w:rPr>
        <w:t>млн. долл. США в качестве начального капитала от Департамента промышленного развития Соединенного Королевства Великобритании и Северной Ирландии и 18,3 млн. долл. США в виде внешнего финансирования.</w:t>
      </w:r>
    </w:p>
    <w:p w:rsidR="00E50824" w:rsidRPr="00AA5056" w:rsidRDefault="009F3B77" w:rsidP="00E50824">
      <w:pPr>
        <w:spacing w:after="120"/>
        <w:ind w:left="1247"/>
        <w:rPr>
          <w:sz w:val="20"/>
        </w:rPr>
      </w:pPr>
      <w:r w:rsidRPr="009F3B77">
        <w:rPr>
          <w:sz w:val="20"/>
        </w:rPr>
        <w:t>30.</w:t>
      </w:r>
      <w:r w:rsidRPr="009F3B77">
        <w:rPr>
          <w:sz w:val="20"/>
        </w:rPr>
        <w:tab/>
      </w:r>
      <w:r w:rsidR="00E50824" w:rsidRPr="00AA5056">
        <w:rPr>
          <w:sz w:val="20"/>
        </w:rPr>
        <w:t xml:space="preserve">Инициатива в области борьбы с нищетой и охраны окружающей среды обеспечивает руководство усилиями по включению природоохранных целей, отвечающих интересам беднейших слоев населения, в процессы национального планирования и составления бюджетов наряду с различными инструментами, о которых говорится выше, путем использования комплексного подхода в страновых программах и информационных продуктах, пользующихся поддержкой этой инициативы, как это было указано в недавно пересмотренном руководстве инициативы в области борьбы с нищетой и охраны окружающей среды под названием «Использование экологических и климатических факторов в интересах сокращения масштабов нищеты и устойчивого развития: руководство по улучшению процессов планирования и составления бюджетов». </w:t>
      </w:r>
    </w:p>
    <w:p w:rsidR="00E50824" w:rsidRPr="00AA5056" w:rsidRDefault="000F0F8B" w:rsidP="00E50824">
      <w:pPr>
        <w:spacing w:after="120"/>
        <w:ind w:left="1247"/>
        <w:rPr>
          <w:sz w:val="20"/>
        </w:rPr>
      </w:pPr>
      <w:r w:rsidRPr="000F0F8B">
        <w:rPr>
          <w:sz w:val="20"/>
        </w:rPr>
        <w:t>31.</w:t>
      </w:r>
      <w:r w:rsidRPr="000F0F8B">
        <w:rPr>
          <w:sz w:val="20"/>
        </w:rPr>
        <w:tab/>
      </w:r>
      <w:r w:rsidR="00E50824" w:rsidRPr="00AA5056">
        <w:rPr>
          <w:sz w:val="20"/>
        </w:rPr>
        <w:t xml:space="preserve">Инициатива в области борьбы с нищетой и охраны окружающей среды способствует осуществлению институциональной реформы в области экологической устойчивости посредством развития сотрудничества между странами Юга. В 2015 году благодаря большому числу обменов </w:t>
      </w:r>
      <w:r w:rsidR="00B852B0">
        <w:rPr>
          <w:sz w:val="20"/>
        </w:rPr>
        <w:t xml:space="preserve">между странами </w:t>
      </w:r>
      <w:r w:rsidR="00E50824" w:rsidRPr="00AA5056">
        <w:rPr>
          <w:sz w:val="20"/>
        </w:rPr>
        <w:t>Юг</w:t>
      </w:r>
      <w:r w:rsidR="00B852B0">
        <w:rPr>
          <w:sz w:val="20"/>
        </w:rPr>
        <w:t>а</w:t>
      </w:r>
      <w:r w:rsidR="00E50824" w:rsidRPr="00AA5056">
        <w:rPr>
          <w:sz w:val="20"/>
        </w:rPr>
        <w:t xml:space="preserve"> началось экспериментальное внедрение подходов и инструментов, обеспечивающих учет вопросов, касающихся нищеты и окружающей среды, в процессах разработки политики и составления бюджетов. В Монголии была проведена работа в области планирования в добывающей промышленности и создания системы управления государственными инвестициями, основанная на работе, ранее </w:t>
      </w:r>
      <w:r w:rsidR="008711E0">
        <w:rPr>
          <w:sz w:val="20"/>
        </w:rPr>
        <w:t>выполненной</w:t>
      </w:r>
      <w:r w:rsidR="008711E0" w:rsidRPr="00AA5056">
        <w:rPr>
          <w:sz w:val="20"/>
        </w:rPr>
        <w:t xml:space="preserve"> </w:t>
      </w:r>
      <w:r w:rsidR="00E50824" w:rsidRPr="00AA5056">
        <w:rPr>
          <w:sz w:val="20"/>
        </w:rPr>
        <w:t>на Филиппинах; Буркина-Фасо воспользовалась опытом Руанды для создания своего национального экологического и климатического фонда; Буркина-Фасо, Малави и Мозамбик ввели запрет на использование пластиковых пакетов, вдохновившись примером и опытом Руанды в этом регионе; Мавритания взяла на вооружение подход «программа – бюджет», воодушевившись опытом использования такого подхода в Буркина-Фасо в 2014 году; а в Мьянме финансовая модель для оценки предложений, касающихся добывающей промышленности, во многом опирается на модель, разработанную Лаосской Народно</w:t>
      </w:r>
      <w:r w:rsidRPr="000F0F8B">
        <w:rPr>
          <w:sz w:val="20"/>
        </w:rPr>
        <w:noBreakHyphen/>
      </w:r>
      <w:r w:rsidR="00E50824" w:rsidRPr="00AA5056">
        <w:rPr>
          <w:sz w:val="20"/>
        </w:rPr>
        <w:t>Демократической Республикой при поддержке инициативы в области борьбы с нищетой и охраны окружающей среды.</w:t>
      </w:r>
    </w:p>
    <w:p w:rsidR="00E50824" w:rsidRPr="00771C30" w:rsidRDefault="00E50824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771C30">
        <w:rPr>
          <w:b/>
          <w:sz w:val="24"/>
          <w:szCs w:val="24"/>
        </w:rPr>
        <w:tab/>
        <w:t>G.</w:t>
      </w:r>
      <w:r w:rsidRPr="00771C30">
        <w:rPr>
          <w:b/>
          <w:sz w:val="24"/>
          <w:szCs w:val="24"/>
        </w:rPr>
        <w:tab/>
        <w:t>«Глобальная экологическая перспектива» и «ЮНЕП в прямом включении»</w:t>
      </w:r>
    </w:p>
    <w:p w:rsidR="00E50824" w:rsidRPr="00AA5056" w:rsidRDefault="000F0F8B" w:rsidP="00E50824">
      <w:pPr>
        <w:spacing w:after="120"/>
        <w:ind w:left="1247"/>
        <w:rPr>
          <w:sz w:val="20"/>
        </w:rPr>
      </w:pPr>
      <w:r w:rsidRPr="000F0F8B">
        <w:rPr>
          <w:sz w:val="20"/>
        </w:rPr>
        <w:t>32.</w:t>
      </w:r>
      <w:r w:rsidRPr="000F0F8B">
        <w:rPr>
          <w:sz w:val="20"/>
        </w:rPr>
        <w:tab/>
      </w:r>
      <w:r w:rsidR="00E50824" w:rsidRPr="00AA5056">
        <w:rPr>
          <w:sz w:val="20"/>
        </w:rPr>
        <w:t xml:space="preserve">Во исполнение просьбы, изложенной в пункте 4 резолюции 1/10 Ассамблеи Организации Объединенных Наций по окружающей среде, Директор-исполнитель ЮНЕП </w:t>
      </w:r>
      <w:r w:rsidR="008711E0">
        <w:rPr>
          <w:sz w:val="20"/>
        </w:rPr>
        <w:t xml:space="preserve">предпринял следующие меры для </w:t>
      </w:r>
      <w:r w:rsidR="00E50824" w:rsidRPr="00AA5056">
        <w:rPr>
          <w:sz w:val="20"/>
        </w:rPr>
        <w:t>включ</w:t>
      </w:r>
      <w:r w:rsidR="008711E0">
        <w:rPr>
          <w:sz w:val="20"/>
        </w:rPr>
        <w:t>ения</w:t>
      </w:r>
      <w:r w:rsidR="00E50824" w:rsidRPr="00AA5056">
        <w:rPr>
          <w:sz w:val="20"/>
        </w:rPr>
        <w:t xml:space="preserve"> различны</w:t>
      </w:r>
      <w:r w:rsidR="008711E0">
        <w:rPr>
          <w:sz w:val="20"/>
        </w:rPr>
        <w:t>х</w:t>
      </w:r>
      <w:r w:rsidR="00E50824" w:rsidRPr="00AA5056">
        <w:rPr>
          <w:sz w:val="20"/>
        </w:rPr>
        <w:t xml:space="preserve"> концепци</w:t>
      </w:r>
      <w:r w:rsidR="008711E0">
        <w:rPr>
          <w:sz w:val="20"/>
        </w:rPr>
        <w:t>й</w:t>
      </w:r>
      <w:r w:rsidR="00E50824" w:rsidRPr="00AA5056">
        <w:rPr>
          <w:sz w:val="20"/>
        </w:rPr>
        <w:t>, подход</w:t>
      </w:r>
      <w:r w:rsidR="008711E0">
        <w:rPr>
          <w:sz w:val="20"/>
        </w:rPr>
        <w:t>ов</w:t>
      </w:r>
      <w:r w:rsidR="00E50824" w:rsidRPr="00AA5056">
        <w:rPr>
          <w:sz w:val="20"/>
        </w:rPr>
        <w:t>, модел</w:t>
      </w:r>
      <w:r w:rsidR="008711E0">
        <w:rPr>
          <w:sz w:val="20"/>
        </w:rPr>
        <w:t>ей</w:t>
      </w:r>
      <w:r w:rsidR="00E50824" w:rsidRPr="00AA5056">
        <w:rPr>
          <w:sz w:val="20"/>
        </w:rPr>
        <w:t xml:space="preserve"> и инструмент</w:t>
      </w:r>
      <w:r w:rsidR="008711E0">
        <w:rPr>
          <w:sz w:val="20"/>
        </w:rPr>
        <w:t>ов, упомянутых</w:t>
      </w:r>
      <w:r w:rsidR="00E50824" w:rsidRPr="00AA5056">
        <w:rPr>
          <w:sz w:val="20"/>
        </w:rPr>
        <w:t xml:space="preserve"> в процесс</w:t>
      </w:r>
      <w:r w:rsidR="008711E0">
        <w:rPr>
          <w:sz w:val="20"/>
        </w:rPr>
        <w:t>е</w:t>
      </w:r>
      <w:r w:rsidR="00E50824" w:rsidRPr="00AA5056">
        <w:rPr>
          <w:sz w:val="20"/>
        </w:rPr>
        <w:t xml:space="preserve"> проведения консультаций для доклада «Глобальная экологическая перспектива» и для «ЮНЕП в прямом включении»:</w:t>
      </w:r>
    </w:p>
    <w:p w:rsidR="00E50824" w:rsidRPr="00AA5056" w:rsidRDefault="000F0F8B" w:rsidP="000F0F8B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a</w:t>
      </w:r>
      <w:r w:rsidRPr="000F0F8B">
        <w:rPr>
          <w:sz w:val="20"/>
        </w:rPr>
        <w:t>)</w:t>
      </w:r>
      <w:r w:rsidRPr="000F0F8B">
        <w:rPr>
          <w:sz w:val="20"/>
        </w:rPr>
        <w:tab/>
      </w:r>
      <w:r w:rsidR="00E50824" w:rsidRPr="00AA5056">
        <w:rPr>
          <w:sz w:val="20"/>
        </w:rPr>
        <w:t>шестое издание «Глобальной экологической перспективы» включит в оценку знаний коренного и местного населения, выявленных в научной литературе, ставшей объектом экспертного анализа. Подходы для включения таких знаний из неофициальных источников по-прежнему находятся в стадии разработки и не будут готовы к использованию в рамках шестого издания, однако в настоящее время рассматривается возможность использования статистических методов для анализа внешних наблюдений;</w:t>
      </w:r>
    </w:p>
    <w:p w:rsidR="00E50824" w:rsidRPr="00AA5056" w:rsidRDefault="000F0F8B" w:rsidP="000F0F8B">
      <w:pPr>
        <w:spacing w:after="240"/>
        <w:ind w:left="1247" w:firstLine="624"/>
        <w:rPr>
          <w:sz w:val="20"/>
        </w:rPr>
      </w:pPr>
      <w:r>
        <w:rPr>
          <w:sz w:val="20"/>
          <w:lang w:val="en-US"/>
        </w:rPr>
        <w:lastRenderedPageBreak/>
        <w:t>b</w:t>
      </w:r>
      <w:r w:rsidRPr="000F0F8B">
        <w:rPr>
          <w:sz w:val="20"/>
        </w:rPr>
        <w:t>)</w:t>
      </w:r>
      <w:r w:rsidRPr="000F0F8B">
        <w:rPr>
          <w:sz w:val="20"/>
        </w:rPr>
        <w:tab/>
      </w:r>
      <w:r w:rsidR="00E50824" w:rsidRPr="00AA5056">
        <w:rPr>
          <w:sz w:val="20"/>
        </w:rPr>
        <w:t>в платформу «ЮНЕП в прямом включении» была добавлена вклад</w:t>
      </w:r>
      <w:r w:rsidR="00B852B0">
        <w:rPr>
          <w:sz w:val="20"/>
        </w:rPr>
        <w:t>к</w:t>
      </w:r>
      <w:r w:rsidR="00E50824" w:rsidRPr="00AA5056">
        <w:rPr>
          <w:sz w:val="20"/>
        </w:rPr>
        <w:t xml:space="preserve">а «традиционные знания» для страниц «мир», «регион» и «страна», а также карты этнических групп для страниц «мир» и «страна». Во вкладке «традиционные знания» будут размещены карты, данные, видеоклипы и любая другая информация, имеющая отношение к традиционным знаниям. В настоящее время на портале «ЮНЕП в прямом включении» </w:t>
      </w:r>
      <w:r w:rsidR="00FC73A8">
        <w:rPr>
          <w:sz w:val="20"/>
        </w:rPr>
        <w:t>представлены</w:t>
      </w:r>
      <w:r w:rsidR="00FC73A8" w:rsidRPr="00AA5056">
        <w:rPr>
          <w:sz w:val="20"/>
        </w:rPr>
        <w:t xml:space="preserve"> </w:t>
      </w:r>
      <w:r w:rsidR="00E50824" w:rsidRPr="00AA5056">
        <w:rPr>
          <w:sz w:val="20"/>
        </w:rPr>
        <w:t xml:space="preserve">карты, фотографии, документы, рассказы, музыкальные произведения и фильмы, касающиеся арктического региона. </w:t>
      </w:r>
    </w:p>
    <w:p w:rsidR="00E50824" w:rsidRPr="000F0F8B" w:rsidRDefault="00E50824" w:rsidP="00771C30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0F0F8B">
        <w:rPr>
          <w:b/>
          <w:sz w:val="28"/>
          <w:szCs w:val="28"/>
        </w:rPr>
        <w:tab/>
        <w:t>IV.</w:t>
      </w:r>
      <w:r w:rsidRPr="000F0F8B">
        <w:rPr>
          <w:b/>
          <w:sz w:val="28"/>
          <w:szCs w:val="28"/>
        </w:rPr>
        <w:tab/>
        <w:t>Рассмотрение вопроса о многообразии путей к достижению экологической устойчивости на второй сессии Ассамблеи Организации Объединенных Наций по окружающей среде</w:t>
      </w:r>
    </w:p>
    <w:p w:rsidR="00E50824" w:rsidRPr="00AA5056" w:rsidRDefault="000F0F8B" w:rsidP="00E50824">
      <w:pPr>
        <w:spacing w:after="120"/>
        <w:ind w:left="1247"/>
        <w:rPr>
          <w:sz w:val="20"/>
        </w:rPr>
      </w:pPr>
      <w:r w:rsidRPr="000F0F8B">
        <w:rPr>
          <w:sz w:val="20"/>
        </w:rPr>
        <w:t>33.</w:t>
      </w:r>
      <w:r w:rsidRPr="000F0F8B">
        <w:rPr>
          <w:sz w:val="20"/>
        </w:rPr>
        <w:tab/>
      </w:r>
      <w:r w:rsidR="00E50824" w:rsidRPr="00AA5056">
        <w:rPr>
          <w:sz w:val="20"/>
        </w:rPr>
        <w:t>ЮНЕП подготовит публикацию в развитие доклада</w:t>
      </w:r>
      <w:r w:rsidR="00E85E66">
        <w:rPr>
          <w:sz w:val="20"/>
        </w:rPr>
        <w:t xml:space="preserve"> </w:t>
      </w:r>
      <w:r w:rsidR="00E85E66" w:rsidRPr="00E85E66">
        <w:rPr>
          <w:sz w:val="20"/>
        </w:rPr>
        <w:t>«</w:t>
      </w:r>
      <w:r w:rsidR="00E50824" w:rsidRPr="00AA5056">
        <w:rPr>
          <w:sz w:val="20"/>
        </w:rPr>
        <w:t xml:space="preserve">Многообразие путей </w:t>
      </w:r>
      <w:r w:rsidR="00FC73A8">
        <w:rPr>
          <w:sz w:val="20"/>
        </w:rPr>
        <w:t>для</w:t>
      </w:r>
      <w:r w:rsidR="00E50824" w:rsidRPr="00AA5056">
        <w:rPr>
          <w:sz w:val="20"/>
        </w:rPr>
        <w:t xml:space="preserve"> достижени</w:t>
      </w:r>
      <w:r w:rsidR="00FC73A8">
        <w:rPr>
          <w:sz w:val="20"/>
        </w:rPr>
        <w:t>я</w:t>
      </w:r>
      <w:r w:rsidR="00E50824" w:rsidRPr="00AA5056">
        <w:rPr>
          <w:sz w:val="20"/>
        </w:rPr>
        <w:t xml:space="preserve"> устойчивого развития», о котором говорилось выше</w:t>
      </w:r>
      <w:r w:rsidR="00FC73A8">
        <w:rPr>
          <w:sz w:val="20"/>
        </w:rPr>
        <w:t>,</w:t>
      </w:r>
      <w:r w:rsidR="00E50824" w:rsidRPr="00AA5056">
        <w:rPr>
          <w:sz w:val="20"/>
        </w:rPr>
        <w:t xml:space="preserve"> рассмотре</w:t>
      </w:r>
      <w:r w:rsidR="00FC73A8">
        <w:rPr>
          <w:sz w:val="20"/>
        </w:rPr>
        <w:t>в</w:t>
      </w:r>
      <w:r w:rsidR="00E50824" w:rsidRPr="00AA5056">
        <w:rPr>
          <w:sz w:val="20"/>
        </w:rPr>
        <w:t xml:space="preserve"> ситуаци</w:t>
      </w:r>
      <w:r w:rsidR="00FC73A8">
        <w:rPr>
          <w:sz w:val="20"/>
        </w:rPr>
        <w:t>ю</w:t>
      </w:r>
      <w:r w:rsidR="00E50824" w:rsidRPr="00AA5056">
        <w:rPr>
          <w:sz w:val="20"/>
        </w:rPr>
        <w:t xml:space="preserve"> в других странах, а также их уникальные подходы, концепции, модели и инструменты, способствующие устойчивому развитию. Подходы, рассматриваемые во втором докладе, будут включать «многооборотную экономику», «взимание платы за экосистемные услуги» и «валовой национальный индекс счастья». Выводы этого доклада могут быть представлены в сочетании с выводами первого доклада на предлагаемом семинаре-практикуме и «ярмарке идей» в ходе второй сессии Ассамблеи Организации Объединенных Наций по окружающей среде в мае 2016</w:t>
      </w:r>
      <w:r w:rsidR="00CA66DF">
        <w:rPr>
          <w:sz w:val="20"/>
          <w:lang w:val="en-US"/>
        </w:rPr>
        <w:t> </w:t>
      </w:r>
      <w:r w:rsidR="00E50824" w:rsidRPr="00AA5056">
        <w:rPr>
          <w:sz w:val="20"/>
        </w:rPr>
        <w:t xml:space="preserve">года (см. пункт 35 ниже). </w:t>
      </w:r>
    </w:p>
    <w:p w:rsidR="00E50824" w:rsidRPr="00AA5056" w:rsidRDefault="00DF300C" w:rsidP="00E50824">
      <w:pPr>
        <w:spacing w:after="120"/>
        <w:ind w:left="1247"/>
        <w:rPr>
          <w:sz w:val="20"/>
        </w:rPr>
      </w:pPr>
      <w:r w:rsidRPr="00DF300C">
        <w:rPr>
          <w:sz w:val="20"/>
        </w:rPr>
        <w:t>34.</w:t>
      </w:r>
      <w:r w:rsidRPr="00DF300C">
        <w:rPr>
          <w:sz w:val="20"/>
        </w:rPr>
        <w:tab/>
      </w:r>
      <w:r w:rsidR="00E50824" w:rsidRPr="00AA5056">
        <w:rPr>
          <w:sz w:val="20"/>
        </w:rPr>
        <w:t xml:space="preserve">ЮНЕП будет осуществлять работу по распространению информации и созданию потенциала на региональном уровне в отношении многообразия путей к достижению устойчивого развития в преддверие второй сессии Ассамблеи </w:t>
      </w:r>
      <w:r w:rsidR="00FC73A8">
        <w:rPr>
          <w:sz w:val="20"/>
        </w:rPr>
        <w:t xml:space="preserve">Организации Объединенных Наций </w:t>
      </w:r>
      <w:r w:rsidR="00E50824" w:rsidRPr="00AA5056">
        <w:rPr>
          <w:sz w:val="20"/>
        </w:rPr>
        <w:t>по окружающей среде</w:t>
      </w:r>
      <w:r w:rsidR="00FC73A8">
        <w:rPr>
          <w:sz w:val="20"/>
        </w:rPr>
        <w:t>. Эти усилия</w:t>
      </w:r>
      <w:r w:rsidR="00E50824" w:rsidRPr="00AA5056">
        <w:rPr>
          <w:sz w:val="20"/>
        </w:rPr>
        <w:t xml:space="preserve"> буд</w:t>
      </w:r>
      <w:r w:rsidR="00FC73A8">
        <w:rPr>
          <w:sz w:val="20"/>
        </w:rPr>
        <w:t>у</w:t>
      </w:r>
      <w:r w:rsidR="00E50824" w:rsidRPr="00AA5056">
        <w:rPr>
          <w:sz w:val="20"/>
        </w:rPr>
        <w:t xml:space="preserve">т способствовать дальнейшему распространению информации о многообразии подходов к достижению устойчивого развития, включая инклюзивную «зеленую» экономику. </w:t>
      </w:r>
    </w:p>
    <w:p w:rsidR="00E50824" w:rsidRPr="00AA5056" w:rsidRDefault="00DF300C" w:rsidP="00E50824">
      <w:pPr>
        <w:spacing w:after="120"/>
        <w:ind w:left="1247"/>
        <w:rPr>
          <w:sz w:val="20"/>
        </w:rPr>
      </w:pPr>
      <w:r w:rsidRPr="00DF300C">
        <w:rPr>
          <w:sz w:val="20"/>
        </w:rPr>
        <w:t>35.</w:t>
      </w:r>
      <w:r w:rsidRPr="00DF300C">
        <w:rPr>
          <w:sz w:val="20"/>
        </w:rPr>
        <w:tab/>
      </w:r>
      <w:r w:rsidR="00E50824" w:rsidRPr="00AA5056">
        <w:rPr>
          <w:sz w:val="20"/>
        </w:rPr>
        <w:t xml:space="preserve">В соответствии с резолюцией 1/10 Ассамблеи </w:t>
      </w:r>
      <w:r w:rsidR="00FC73A8">
        <w:rPr>
          <w:sz w:val="20"/>
        </w:rPr>
        <w:t xml:space="preserve">Организации Объединенных Наций </w:t>
      </w:r>
      <w:r w:rsidR="00E50824" w:rsidRPr="00AA5056">
        <w:rPr>
          <w:sz w:val="20"/>
        </w:rPr>
        <w:t>по окружающей среде ЮНЕП предлагает провести семинар-практикум и «ярмарку идей»</w:t>
      </w:r>
      <w:r w:rsidR="00FC73A8">
        <w:rPr>
          <w:sz w:val="20"/>
        </w:rPr>
        <w:t xml:space="preserve">, предположительно - </w:t>
      </w:r>
      <w:r w:rsidR="00E50824" w:rsidRPr="00AA5056">
        <w:rPr>
          <w:sz w:val="20"/>
        </w:rPr>
        <w:t xml:space="preserve">в ходе второй сессии Ассамблеи. Предлагаемый семинар-практикум будет опираться на положения двух докладов ЮНЕП о многообразии путей к достижению устойчивого развития, его участники обсудят инициативы, осуществляемые в различных странах мира, как это было предложено в резолюции 1/10, а министры </w:t>
      </w:r>
      <w:r w:rsidR="00FC73A8">
        <w:rPr>
          <w:sz w:val="20"/>
        </w:rPr>
        <w:t xml:space="preserve">из отдельных стран </w:t>
      </w:r>
      <w:r w:rsidR="00E50824" w:rsidRPr="00AA5056">
        <w:rPr>
          <w:sz w:val="20"/>
        </w:rPr>
        <w:t>обменяются информацией о</w:t>
      </w:r>
      <w:r w:rsidR="00FC73A8">
        <w:rPr>
          <w:sz w:val="20"/>
        </w:rPr>
        <w:t>б</w:t>
      </w:r>
      <w:r w:rsidR="00E50824" w:rsidRPr="00AA5056">
        <w:rPr>
          <w:sz w:val="20"/>
        </w:rPr>
        <w:t xml:space="preserve"> инициативах </w:t>
      </w:r>
      <w:r w:rsidR="00FC73A8">
        <w:rPr>
          <w:sz w:val="20"/>
        </w:rPr>
        <w:t xml:space="preserve">своих стран </w:t>
      </w:r>
      <w:r w:rsidR="00E50824" w:rsidRPr="00AA5056">
        <w:rPr>
          <w:sz w:val="20"/>
        </w:rPr>
        <w:t>в области устойчивого развития. Предлагаемая «ярмарка идей» предоставит странам возможность обменяться материалами и представить информацию о национальных инициативах.</w:t>
      </w:r>
    </w:p>
    <w:p w:rsidR="00EB6729" w:rsidRPr="00AA5056" w:rsidRDefault="00EB6729" w:rsidP="00395D31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480"/>
        <w:jc w:val="center"/>
        <w:rPr>
          <w:w w:val="103"/>
          <w:kern w:val="14"/>
          <w:lang w:val="en-US"/>
        </w:rPr>
      </w:pPr>
      <w:r w:rsidRPr="00AA5056">
        <w:rPr>
          <w:w w:val="103"/>
          <w:kern w:val="14"/>
          <w:lang w:val="ru-RU"/>
        </w:rPr>
        <w:t>_____________________</w:t>
      </w:r>
      <w:r w:rsidR="000C2B48" w:rsidRPr="00AA5056">
        <w:rPr>
          <w:w w:val="103"/>
          <w:kern w:val="14"/>
          <w:lang w:val="ru-RU"/>
        </w:rPr>
        <w:t>__</w:t>
      </w:r>
    </w:p>
    <w:sectPr w:rsidR="00EB6729" w:rsidRPr="00AA5056" w:rsidSect="00C84EF5">
      <w:type w:val="continuous"/>
      <w:pgSz w:w="11906" w:h="16838" w:code="9"/>
      <w:pgMar w:top="907" w:right="992" w:bottom="1418" w:left="1418" w:header="539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8E" w:rsidRDefault="007D018E">
      <w:r>
        <w:separator/>
      </w:r>
    </w:p>
  </w:endnote>
  <w:endnote w:type="continuationSeparator" w:id="0">
    <w:p w:rsidR="007D018E" w:rsidRDefault="007D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Pr="007F485F" w:rsidRDefault="00E16119" w:rsidP="007F485F">
    <w:pPr>
      <w:pStyle w:val="Footer"/>
      <w:tabs>
        <w:tab w:val="clear" w:pos="4320"/>
        <w:tab w:val="clear" w:pos="8640"/>
      </w:tabs>
      <w:spacing w:before="60" w:after="120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44152F">
      <w:rPr>
        <w:rStyle w:val="PageNumber"/>
        <w:b/>
        <w:noProof/>
        <w:sz w:val="18"/>
        <w:szCs w:val="18"/>
      </w:rPr>
      <w:t>10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Pr="007F485F" w:rsidRDefault="00E16119" w:rsidP="007F485F">
    <w:pPr>
      <w:pStyle w:val="Footer"/>
      <w:tabs>
        <w:tab w:val="clear" w:pos="4320"/>
        <w:tab w:val="clear" w:pos="8640"/>
      </w:tabs>
      <w:spacing w:before="60" w:after="120"/>
      <w:jc w:val="right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44152F">
      <w:rPr>
        <w:rStyle w:val="PageNumber"/>
        <w:b/>
        <w:noProof/>
        <w:sz w:val="18"/>
        <w:szCs w:val="18"/>
      </w:rPr>
      <w:t>11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C9" w:rsidRPr="00F66B77" w:rsidRDefault="000914C9" w:rsidP="000914C9">
    <w:pPr>
      <w:pStyle w:val="FootnoteText"/>
      <w:spacing w:before="20" w:after="120"/>
      <w:ind w:left="1247"/>
      <w:rPr>
        <w:sz w:val="18"/>
        <w:szCs w:val="18"/>
      </w:rPr>
    </w:pPr>
    <w:r w:rsidRPr="00F66B77">
      <w:rPr>
        <w:rStyle w:val="FootnoteReference"/>
        <w:sz w:val="18"/>
        <w:szCs w:val="18"/>
        <w:vertAlign w:val="baseline"/>
      </w:rPr>
      <w:t>*</w:t>
    </w:r>
    <w:r w:rsidRPr="00F66B77">
      <w:rPr>
        <w:sz w:val="18"/>
        <w:szCs w:val="18"/>
      </w:rPr>
      <w:tab/>
    </w:r>
    <w:r w:rsidRPr="00F66B77">
      <w:rPr>
        <w:rStyle w:val="FootnoteReference"/>
        <w:sz w:val="18"/>
        <w:szCs w:val="18"/>
        <w:vertAlign w:val="baseline"/>
        <w:lang w:val="en-GB"/>
      </w:rPr>
      <w:t>UNEP</w:t>
    </w:r>
    <w:r w:rsidRPr="00F66B77">
      <w:rPr>
        <w:rStyle w:val="FootnoteReference"/>
        <w:sz w:val="18"/>
        <w:szCs w:val="18"/>
        <w:vertAlign w:val="baseline"/>
      </w:rPr>
      <w:t>/</w:t>
    </w:r>
    <w:r w:rsidRPr="00F66B77">
      <w:rPr>
        <w:rStyle w:val="FootnoteReference"/>
        <w:sz w:val="18"/>
        <w:szCs w:val="18"/>
        <w:vertAlign w:val="baseline"/>
        <w:lang w:val="en-GB"/>
      </w:rPr>
      <w:t>EA</w:t>
    </w:r>
    <w:r w:rsidRPr="00F66B77">
      <w:rPr>
        <w:rStyle w:val="FootnoteReference"/>
        <w:sz w:val="18"/>
        <w:szCs w:val="18"/>
        <w:vertAlign w:val="baseline"/>
      </w:rPr>
      <w:t>.2/</w:t>
    </w:r>
    <w:r w:rsidRPr="00F66B77">
      <w:rPr>
        <w:sz w:val="18"/>
        <w:szCs w:val="18"/>
      </w:rPr>
      <w:t xml:space="preserve">1. </w:t>
    </w:r>
  </w:p>
  <w:p w:rsidR="00E16119" w:rsidRPr="00D36C43" w:rsidRDefault="00E16119" w:rsidP="00C2288F">
    <w:pPr>
      <w:rPr>
        <w:sz w:val="20"/>
        <w:lang w:val="en-US"/>
      </w:rPr>
    </w:pPr>
    <w:r w:rsidRPr="00D36C43">
      <w:rPr>
        <w:sz w:val="20"/>
        <w:lang w:val="en-US"/>
      </w:rPr>
      <w:t>K</w:t>
    </w:r>
    <w:r w:rsidR="0059527D">
      <w:rPr>
        <w:sz w:val="20"/>
        <w:lang w:val="en-US"/>
      </w:rPr>
      <w:t>1</w:t>
    </w:r>
    <w:r w:rsidR="00C41CC7">
      <w:rPr>
        <w:sz w:val="20"/>
      </w:rPr>
      <w:t>600</w:t>
    </w:r>
    <w:r w:rsidR="001C0D62">
      <w:rPr>
        <w:sz w:val="20"/>
        <w:lang w:val="en-US"/>
      </w:rPr>
      <w:t>57</w:t>
    </w:r>
    <w:r w:rsidR="00C41CC7">
      <w:rPr>
        <w:sz w:val="20"/>
      </w:rPr>
      <w:t>9</w:t>
    </w:r>
    <w:r w:rsidRPr="00D36C43">
      <w:rPr>
        <w:sz w:val="20"/>
      </w:rPr>
      <w:t xml:space="preserve">    </w:t>
    </w:r>
    <w:r w:rsidR="001C1077">
      <w:rPr>
        <w:sz w:val="20"/>
      </w:rPr>
      <w:t xml:space="preserve">  </w:t>
    </w:r>
    <w:r w:rsidRPr="00D36C43">
      <w:rPr>
        <w:sz w:val="20"/>
      </w:rPr>
      <w:t xml:space="preserve"> </w:t>
    </w:r>
    <w:r w:rsidR="00B7779A">
      <w:rPr>
        <w:sz w:val="20"/>
        <w:lang w:val="en-US"/>
      </w:rPr>
      <w:t>2</w:t>
    </w:r>
    <w:r w:rsidR="00EB18AD">
      <w:rPr>
        <w:sz w:val="20"/>
        <w:lang w:val="en-US"/>
      </w:rPr>
      <w:t>4</w:t>
    </w:r>
    <w:r w:rsidR="00C41CC7">
      <w:rPr>
        <w:sz w:val="20"/>
      </w:rPr>
      <w:t>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8E" w:rsidRPr="00BD475D" w:rsidRDefault="007D018E" w:rsidP="00BD475D">
      <w:pPr>
        <w:ind w:left="624"/>
        <w:rPr>
          <w:sz w:val="20"/>
        </w:rPr>
      </w:pPr>
      <w:r w:rsidRPr="00BD475D">
        <w:rPr>
          <w:sz w:val="20"/>
        </w:rPr>
        <w:separator/>
      </w:r>
    </w:p>
  </w:footnote>
  <w:footnote w:type="continuationSeparator" w:id="0">
    <w:p w:rsidR="007D018E" w:rsidRDefault="007D018E">
      <w:r>
        <w:continuationSeparator/>
      </w:r>
    </w:p>
  </w:footnote>
  <w:footnote w:id="1">
    <w:p w:rsidR="004C48A3" w:rsidRPr="00F66B77" w:rsidRDefault="004C48A3" w:rsidP="004C48A3">
      <w:pPr>
        <w:pStyle w:val="FootnoteText"/>
        <w:spacing w:before="20" w:after="40"/>
        <w:ind w:left="1247"/>
        <w:rPr>
          <w:sz w:val="18"/>
          <w:szCs w:val="18"/>
        </w:rPr>
      </w:pPr>
      <w:r w:rsidRPr="00F66B77">
        <w:rPr>
          <w:rStyle w:val="FootnoteReference"/>
          <w:sz w:val="18"/>
          <w:szCs w:val="18"/>
          <w:lang w:val="en-GB"/>
        </w:rPr>
        <w:footnoteRef/>
      </w:r>
      <w:r w:rsidRPr="00F66B77">
        <w:rPr>
          <w:sz w:val="18"/>
          <w:szCs w:val="18"/>
        </w:rPr>
        <w:t xml:space="preserve"> </w:t>
      </w:r>
      <w:bookmarkStart w:id="1" w:name="_Toc138148155"/>
      <w:r w:rsidRPr="00F66B77">
        <w:rPr>
          <w:sz w:val="18"/>
          <w:szCs w:val="18"/>
        </w:rPr>
        <w:tab/>
      </w:r>
      <w:r w:rsidRPr="00F66B77">
        <w:rPr>
          <w:i/>
          <w:sz w:val="18"/>
          <w:szCs w:val="18"/>
        </w:rPr>
        <w:t>Доклад Всемирной встречи на высшем уровне в интересах социального развития</w:t>
      </w:r>
      <w:r w:rsidRPr="00F66B77">
        <w:rPr>
          <w:sz w:val="18"/>
          <w:szCs w:val="18"/>
        </w:rPr>
        <w:t xml:space="preserve">, Йоханнесбург, Южная Африка, 26 августа – 4 сентября 2002 года (издание Организации Объединенных Наций, в продаже под </w:t>
      </w:r>
      <w:r w:rsidRPr="00F66B77">
        <w:rPr>
          <w:sz w:val="18"/>
          <w:szCs w:val="18"/>
          <w:lang w:val="en-GB"/>
        </w:rPr>
        <w:t>No</w:t>
      </w:r>
      <w:r w:rsidRPr="00F66B77">
        <w:rPr>
          <w:sz w:val="18"/>
          <w:szCs w:val="18"/>
        </w:rPr>
        <w:t xml:space="preserve">. </w:t>
      </w:r>
      <w:proofErr w:type="gramStart"/>
      <w:r w:rsidRPr="00F66B77">
        <w:rPr>
          <w:sz w:val="18"/>
          <w:szCs w:val="18"/>
          <w:lang w:val="en-US"/>
        </w:rPr>
        <w:t>R</w:t>
      </w:r>
      <w:r w:rsidRPr="00F66B77">
        <w:rPr>
          <w:sz w:val="18"/>
          <w:szCs w:val="18"/>
        </w:rPr>
        <w:t>.03.</w:t>
      </w:r>
      <w:r w:rsidRPr="00F66B77">
        <w:rPr>
          <w:sz w:val="18"/>
          <w:szCs w:val="18"/>
          <w:lang w:val="en-GB"/>
        </w:rPr>
        <w:t>II</w:t>
      </w:r>
      <w:r w:rsidRPr="00F66B77">
        <w:rPr>
          <w:sz w:val="18"/>
          <w:szCs w:val="18"/>
        </w:rPr>
        <w:t>.</w:t>
      </w:r>
      <w:r w:rsidRPr="00F66B77">
        <w:rPr>
          <w:sz w:val="18"/>
          <w:szCs w:val="18"/>
          <w:lang w:val="en-GB"/>
        </w:rPr>
        <w:t>A</w:t>
      </w:r>
      <w:r w:rsidRPr="00F66B77">
        <w:rPr>
          <w:sz w:val="18"/>
          <w:szCs w:val="18"/>
        </w:rPr>
        <w:t>.1 и исправление), глава</w:t>
      </w:r>
      <w:r w:rsidRPr="00F66B77">
        <w:rPr>
          <w:sz w:val="18"/>
          <w:szCs w:val="18"/>
          <w:lang w:val="en-GB"/>
        </w:rPr>
        <w:t> I</w:t>
      </w:r>
      <w:r w:rsidRPr="00F66B77">
        <w:rPr>
          <w:sz w:val="18"/>
          <w:szCs w:val="18"/>
        </w:rPr>
        <w:t>,</w:t>
      </w:r>
      <w:r w:rsidRPr="00F66B77">
        <w:rPr>
          <w:sz w:val="18"/>
          <w:szCs w:val="18"/>
          <w:lang w:val="en-GB"/>
        </w:rPr>
        <w:t> </w:t>
      </w:r>
      <w:r w:rsidRPr="00F66B77">
        <w:rPr>
          <w:sz w:val="18"/>
          <w:szCs w:val="18"/>
        </w:rPr>
        <w:t>резолюция</w:t>
      </w:r>
      <w:r w:rsidRPr="00F66B77">
        <w:rPr>
          <w:sz w:val="18"/>
          <w:szCs w:val="18"/>
          <w:lang w:val="en-GB"/>
        </w:rPr>
        <w:t> </w:t>
      </w:r>
      <w:r w:rsidRPr="00F66B77">
        <w:rPr>
          <w:sz w:val="18"/>
          <w:szCs w:val="18"/>
        </w:rPr>
        <w:t>2, прило</w:t>
      </w:r>
      <w:bookmarkEnd w:id="1"/>
      <w:r w:rsidRPr="00F66B77">
        <w:rPr>
          <w:sz w:val="18"/>
          <w:szCs w:val="18"/>
        </w:rPr>
        <w:t>жение, пункт 19.</w:t>
      </w:r>
      <w:proofErr w:type="gramEnd"/>
      <w:r w:rsidRPr="00F66B77">
        <w:rPr>
          <w:sz w:val="18"/>
          <w:szCs w:val="18"/>
        </w:rPr>
        <w:t xml:space="preserve"> </w:t>
      </w:r>
    </w:p>
  </w:footnote>
  <w:footnote w:id="2">
    <w:p w:rsidR="00E85E66" w:rsidRPr="00F66B77" w:rsidRDefault="00E85E66" w:rsidP="00E85E66">
      <w:pPr>
        <w:pStyle w:val="FootnoteText"/>
        <w:spacing w:before="20" w:after="40"/>
        <w:ind w:left="1247"/>
        <w:rPr>
          <w:sz w:val="18"/>
          <w:szCs w:val="18"/>
        </w:rPr>
      </w:pPr>
      <w:r w:rsidRPr="00F66B77">
        <w:rPr>
          <w:rStyle w:val="FootnoteReference"/>
          <w:sz w:val="18"/>
          <w:szCs w:val="18"/>
          <w:lang w:val="en-GB"/>
        </w:rPr>
        <w:footnoteRef/>
      </w:r>
      <w:r w:rsidRPr="00F66B77">
        <w:rPr>
          <w:sz w:val="18"/>
          <w:szCs w:val="18"/>
        </w:rPr>
        <w:tab/>
      </w:r>
      <w:r w:rsidRPr="00F66B77">
        <w:rPr>
          <w:sz w:val="18"/>
          <w:szCs w:val="18"/>
          <w:lang w:val="en-GB"/>
        </w:rPr>
        <w:t>http</w:t>
      </w:r>
      <w:r w:rsidRPr="00F66B77">
        <w:rPr>
          <w:sz w:val="18"/>
          <w:szCs w:val="18"/>
        </w:rPr>
        <w:t>://</w:t>
      </w:r>
      <w:r w:rsidRPr="00F66B77">
        <w:rPr>
          <w:sz w:val="18"/>
          <w:szCs w:val="18"/>
          <w:lang w:val="en-GB"/>
        </w:rPr>
        <w:t>www</w:t>
      </w:r>
      <w:r w:rsidRPr="00F66B77">
        <w:rPr>
          <w:sz w:val="18"/>
          <w:szCs w:val="18"/>
        </w:rPr>
        <w:t>.</w:t>
      </w:r>
      <w:proofErr w:type="spellStart"/>
      <w:r w:rsidRPr="00F66B77">
        <w:rPr>
          <w:sz w:val="18"/>
          <w:szCs w:val="18"/>
          <w:lang w:val="en-GB"/>
        </w:rPr>
        <w:t>ellenmacarthurfoundation</w:t>
      </w:r>
      <w:proofErr w:type="spellEnd"/>
      <w:r w:rsidRPr="00F66B77">
        <w:rPr>
          <w:sz w:val="18"/>
          <w:szCs w:val="18"/>
        </w:rPr>
        <w:t>.</w:t>
      </w:r>
      <w:r w:rsidRPr="00F66B77">
        <w:rPr>
          <w:sz w:val="18"/>
          <w:szCs w:val="18"/>
          <w:lang w:val="en-GB"/>
        </w:rPr>
        <w:t>org</w:t>
      </w:r>
      <w:r w:rsidRPr="00F66B77">
        <w:rPr>
          <w:sz w:val="18"/>
          <w:szCs w:val="18"/>
        </w:rPr>
        <w:t>/</w:t>
      </w:r>
      <w:r w:rsidRPr="00F66B77">
        <w:rPr>
          <w:sz w:val="18"/>
          <w:szCs w:val="18"/>
          <w:lang w:val="en-GB"/>
        </w:rPr>
        <w:t>circular</w:t>
      </w:r>
      <w:r w:rsidRPr="00F66B77">
        <w:rPr>
          <w:sz w:val="18"/>
          <w:szCs w:val="18"/>
        </w:rPr>
        <w:t>-</w:t>
      </w:r>
      <w:r w:rsidRPr="00F66B77">
        <w:rPr>
          <w:sz w:val="18"/>
          <w:szCs w:val="18"/>
          <w:lang w:val="en-GB"/>
        </w:rPr>
        <w:t>economy</w:t>
      </w:r>
      <w:r w:rsidRPr="00F66B7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Pr="00DA5A61" w:rsidRDefault="00E16119" w:rsidP="007F485F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rPr>
        <w:b/>
        <w:sz w:val="18"/>
        <w:szCs w:val="18"/>
        <w:lang w:val="en-US"/>
      </w:rPr>
    </w:pPr>
    <w:r w:rsidRPr="007F485F">
      <w:rPr>
        <w:b/>
        <w:sz w:val="18"/>
        <w:szCs w:val="18"/>
        <w:lang w:val="en-US"/>
      </w:rPr>
      <w:t>UNEP/</w:t>
    </w:r>
    <w:r w:rsidR="0059527D">
      <w:rPr>
        <w:b/>
        <w:sz w:val="18"/>
        <w:szCs w:val="18"/>
        <w:lang w:val="en-US"/>
      </w:rPr>
      <w:t>EA</w:t>
    </w:r>
    <w:r w:rsidRPr="007F485F">
      <w:rPr>
        <w:b/>
        <w:sz w:val="18"/>
        <w:szCs w:val="18"/>
        <w:lang w:val="en-US"/>
      </w:rPr>
      <w:t>.</w:t>
    </w:r>
    <w:r w:rsidR="00C41CC7">
      <w:rPr>
        <w:b/>
        <w:sz w:val="18"/>
        <w:szCs w:val="18"/>
      </w:rPr>
      <w:t>2</w:t>
    </w:r>
    <w:r w:rsidR="00D75DF9">
      <w:rPr>
        <w:b/>
        <w:sz w:val="18"/>
        <w:szCs w:val="18"/>
        <w:lang w:val="en-US"/>
      </w:rPr>
      <w:t>/</w:t>
    </w:r>
    <w:r w:rsidR="00DA5A61">
      <w:rPr>
        <w:b/>
        <w:sz w:val="18"/>
        <w:szCs w:val="18"/>
        <w:lang w:val="en-US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Pr="007F485F" w:rsidRDefault="0059527D" w:rsidP="007F485F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jc w:val="right"/>
      <w:rPr>
        <w:b/>
        <w:sz w:val="18"/>
        <w:szCs w:val="18"/>
        <w:lang w:val="en-US"/>
      </w:rPr>
    </w:pPr>
    <w:r w:rsidRPr="007F485F">
      <w:rPr>
        <w:b/>
        <w:sz w:val="18"/>
        <w:szCs w:val="18"/>
        <w:lang w:val="en-US"/>
      </w:rPr>
      <w:t>UNEP/</w:t>
    </w:r>
    <w:r>
      <w:rPr>
        <w:b/>
        <w:sz w:val="18"/>
        <w:szCs w:val="18"/>
        <w:lang w:val="en-US"/>
      </w:rPr>
      <w:t>EA</w:t>
    </w:r>
    <w:r w:rsidRPr="007F485F">
      <w:rPr>
        <w:b/>
        <w:sz w:val="18"/>
        <w:szCs w:val="18"/>
        <w:lang w:val="en-US"/>
      </w:rPr>
      <w:t>.</w:t>
    </w:r>
    <w:r w:rsidR="00DA5A61">
      <w:rPr>
        <w:b/>
        <w:sz w:val="18"/>
        <w:szCs w:val="18"/>
        <w:lang w:val="en-US"/>
      </w:rPr>
      <w:t>2</w:t>
    </w:r>
    <w:r>
      <w:rPr>
        <w:b/>
        <w:sz w:val="18"/>
        <w:szCs w:val="18"/>
        <w:lang w:val="en-US"/>
      </w:rPr>
      <w:t>/</w:t>
    </w:r>
    <w:r w:rsidR="00DA5A61">
      <w:rPr>
        <w:b/>
        <w:sz w:val="18"/>
        <w:szCs w:val="18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Default="00E1611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7A6E4C"/>
    <w:numStyleLink w:val="Normallist"/>
  </w:abstractNum>
  <w:abstractNum w:abstractNumId="1">
    <w:nsid w:val="012643D8"/>
    <w:multiLevelType w:val="multilevel"/>
    <w:tmpl w:val="E106261E"/>
    <w:lvl w:ilvl="0">
      <w:start w:val="1"/>
      <w:numFmt w:val="lowerLetter"/>
      <w:lvlText w:val="(%1)"/>
      <w:lvlJc w:val="left"/>
      <w:pPr>
        <w:tabs>
          <w:tab w:val="num" w:pos="1134"/>
        </w:tabs>
        <w:ind w:left="1814" w:firstLine="0"/>
      </w:pPr>
      <w:rPr>
        <w:rFonts w:hint="default"/>
        <w:lang w:val="en-GB"/>
      </w:rPr>
    </w:lvl>
    <w:lvl w:ilvl="1">
      <w:start w:val="1"/>
      <w:numFmt w:val="lowerLetter"/>
      <w:lvlText w:val="(%2)"/>
      <w:lvlJc w:val="left"/>
      <w:pPr>
        <w:tabs>
          <w:tab w:val="num" w:pos="1275"/>
        </w:tabs>
        <w:ind w:left="1955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381"/>
        </w:tabs>
        <w:ind w:left="4762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532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362"/>
        </w:tabs>
        <w:ind w:left="83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82"/>
        </w:tabs>
        <w:ind w:left="90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802"/>
        </w:tabs>
        <w:ind w:left="9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522"/>
        </w:tabs>
        <w:ind w:left="105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242"/>
        </w:tabs>
        <w:ind w:left="11242" w:hanging="180"/>
      </w:pPr>
      <w:rPr>
        <w:rFonts w:hint="default"/>
      </w:rPr>
    </w:lvl>
  </w:abstractNum>
  <w:abstractNum w:abstractNumId="2">
    <w:nsid w:val="053B5B17"/>
    <w:multiLevelType w:val="hybridMultilevel"/>
    <w:tmpl w:val="6FE2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691E"/>
    <w:multiLevelType w:val="hybridMultilevel"/>
    <w:tmpl w:val="C29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43B5"/>
    <w:multiLevelType w:val="hybridMultilevel"/>
    <w:tmpl w:val="D21E45C6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388A549A">
      <w:start w:val="1"/>
      <w:numFmt w:val="lowerLetter"/>
      <w:lvlText w:val="(%2)"/>
      <w:lvlJc w:val="left"/>
      <w:pPr>
        <w:ind w:left="144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179E509B"/>
    <w:multiLevelType w:val="hybridMultilevel"/>
    <w:tmpl w:val="95043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BEC5C5B"/>
    <w:multiLevelType w:val="multilevel"/>
    <w:tmpl w:val="B53E86C6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8">
    <w:nsid w:val="1C093925"/>
    <w:multiLevelType w:val="hybridMultilevel"/>
    <w:tmpl w:val="7AA6D1C0"/>
    <w:lvl w:ilvl="0" w:tplc="78F25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7022"/>
    <w:multiLevelType w:val="hybridMultilevel"/>
    <w:tmpl w:val="0C06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67036"/>
    <w:multiLevelType w:val="multilevel"/>
    <w:tmpl w:val="54CA3EA6"/>
    <w:lvl w:ilvl="0">
      <w:start w:val="1"/>
      <w:numFmt w:val="decimal"/>
      <w:lvlText w:val="%1."/>
      <w:lvlJc w:val="left"/>
      <w:pPr>
        <w:tabs>
          <w:tab w:val="num" w:pos="1134"/>
        </w:tabs>
        <w:ind w:left="1814" w:firstLine="0"/>
      </w:pPr>
      <w:rPr>
        <w:rFonts w:hint="default"/>
        <w:lang w:val="en-GB"/>
      </w:rPr>
    </w:lvl>
    <w:lvl w:ilvl="1">
      <w:start w:val="1"/>
      <w:numFmt w:val="lowerLetter"/>
      <w:lvlText w:val="(%2)"/>
      <w:lvlJc w:val="left"/>
      <w:pPr>
        <w:tabs>
          <w:tab w:val="num" w:pos="1275"/>
        </w:tabs>
        <w:ind w:left="1955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381"/>
        </w:tabs>
        <w:ind w:left="4762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532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362"/>
        </w:tabs>
        <w:ind w:left="83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82"/>
        </w:tabs>
        <w:ind w:left="90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802"/>
        </w:tabs>
        <w:ind w:left="9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522"/>
        </w:tabs>
        <w:ind w:left="105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242"/>
        </w:tabs>
        <w:ind w:left="11242" w:hanging="180"/>
      </w:pPr>
      <w:rPr>
        <w:rFonts w:hint="default"/>
      </w:rPr>
    </w:lvl>
  </w:abstractNum>
  <w:abstractNum w:abstractNumId="11">
    <w:nsid w:val="1FA66535"/>
    <w:multiLevelType w:val="multilevel"/>
    <w:tmpl w:val="00FE5BB8"/>
    <w:lvl w:ilvl="0">
      <w:start w:val="1"/>
      <w:numFmt w:val="decimal"/>
      <w:lvlText w:val="%1."/>
      <w:lvlJc w:val="left"/>
      <w:pPr>
        <w:ind w:left="1607" w:firstLine="1247"/>
      </w:pPr>
    </w:lvl>
    <w:lvl w:ilvl="1">
      <w:start w:val="1"/>
      <w:numFmt w:val="lowerLetter"/>
      <w:lvlText w:val="(%2)"/>
      <w:lvlJc w:val="left"/>
      <w:pPr>
        <w:ind w:left="1247" w:firstLine="1814"/>
      </w:pPr>
    </w:lvl>
    <w:lvl w:ilvl="2">
      <w:start w:val="1"/>
      <w:numFmt w:val="lowerRoman"/>
      <w:lvlText w:val="(%3)"/>
      <w:lvlJc w:val="left"/>
      <w:pPr>
        <w:ind w:left="2948" w:firstLine="2381"/>
      </w:pPr>
    </w:lvl>
    <w:lvl w:ilvl="3">
      <w:start w:val="1"/>
      <w:numFmt w:val="lowerLetter"/>
      <w:lvlText w:val="%4."/>
      <w:lvlJc w:val="left"/>
      <w:pPr>
        <w:ind w:left="3515" w:firstLine="2948"/>
      </w:pPr>
    </w:lvl>
    <w:lvl w:ilvl="4">
      <w:start w:val="1"/>
      <w:numFmt w:val="lowerRoman"/>
      <w:lvlText w:val="%5."/>
      <w:lvlJc w:val="left"/>
      <w:pPr>
        <w:ind w:left="4082" w:firstLine="3515"/>
      </w:pPr>
    </w:lvl>
    <w:lvl w:ilvl="5">
      <w:start w:val="1"/>
      <w:numFmt w:val="lowerRoman"/>
      <w:lvlText w:val="%6."/>
      <w:lvlJc w:val="right"/>
      <w:pPr>
        <w:ind w:left="7835" w:firstLine="7655"/>
      </w:pPr>
    </w:lvl>
    <w:lvl w:ilvl="6">
      <w:start w:val="1"/>
      <w:numFmt w:val="decimal"/>
      <w:lvlText w:val="%7."/>
      <w:lvlJc w:val="left"/>
      <w:pPr>
        <w:ind w:left="8555" w:firstLine="8195"/>
      </w:pPr>
    </w:lvl>
    <w:lvl w:ilvl="7">
      <w:start w:val="1"/>
      <w:numFmt w:val="lowerLetter"/>
      <w:lvlText w:val="%8."/>
      <w:lvlJc w:val="left"/>
      <w:pPr>
        <w:ind w:left="9275" w:firstLine="8915"/>
      </w:pPr>
    </w:lvl>
    <w:lvl w:ilvl="8">
      <w:start w:val="1"/>
      <w:numFmt w:val="lowerRoman"/>
      <w:lvlText w:val="%9."/>
      <w:lvlJc w:val="right"/>
      <w:pPr>
        <w:ind w:left="9995" w:firstLine="9815"/>
      </w:pPr>
    </w:lvl>
  </w:abstractNum>
  <w:abstractNum w:abstractNumId="12">
    <w:nsid w:val="216B34B1"/>
    <w:multiLevelType w:val="hybridMultilevel"/>
    <w:tmpl w:val="FAEA705E"/>
    <w:lvl w:ilvl="0" w:tplc="3BEC1904">
      <w:start w:val="1"/>
      <w:numFmt w:val="upperLetter"/>
      <w:lvlText w:val="%1."/>
      <w:lvlJc w:val="left"/>
      <w:pPr>
        <w:ind w:left="1080" w:hanging="360"/>
      </w:pPr>
      <w:rPr>
        <w:rFonts w:ascii="Tahoma" w:eastAsia="MS Mincho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D6A89"/>
    <w:multiLevelType w:val="multilevel"/>
    <w:tmpl w:val="D07A6E4C"/>
    <w:numStyleLink w:val="Normallist"/>
  </w:abstractNum>
  <w:abstractNum w:abstractNumId="14">
    <w:nsid w:val="292A681B"/>
    <w:multiLevelType w:val="hybridMultilevel"/>
    <w:tmpl w:val="BA3282CC"/>
    <w:lvl w:ilvl="0" w:tplc="2FC05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A074A"/>
    <w:multiLevelType w:val="hybridMultilevel"/>
    <w:tmpl w:val="0CDA64B2"/>
    <w:lvl w:ilvl="0" w:tplc="5F1895CE">
      <w:start w:val="1"/>
      <w:numFmt w:val="decimal"/>
      <w:lvlText w:val="%1."/>
      <w:lvlJc w:val="left"/>
      <w:pPr>
        <w:ind w:left="98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2216B3"/>
    <w:multiLevelType w:val="multilevel"/>
    <w:tmpl w:val="5B786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9357EA"/>
    <w:multiLevelType w:val="hybridMultilevel"/>
    <w:tmpl w:val="D34A64DA"/>
    <w:lvl w:ilvl="0" w:tplc="388A54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5D0F14"/>
    <w:multiLevelType w:val="hybridMultilevel"/>
    <w:tmpl w:val="267010AA"/>
    <w:lvl w:ilvl="0" w:tplc="388A549A">
      <w:start w:val="1"/>
      <w:numFmt w:val="lowerLetter"/>
      <w:lvlText w:val="(%1)"/>
      <w:lvlJc w:val="left"/>
      <w:pPr>
        <w:ind w:left="1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0">
    <w:nsid w:val="3D7C7DDD"/>
    <w:multiLevelType w:val="multilevel"/>
    <w:tmpl w:val="C5DC33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1">
    <w:nsid w:val="445B181A"/>
    <w:multiLevelType w:val="multilevel"/>
    <w:tmpl w:val="8918F6CA"/>
    <w:lvl w:ilvl="0">
      <w:start w:val="1"/>
      <w:numFmt w:val="lowerLetter"/>
      <w:lvlText w:val="(%1)"/>
      <w:lvlJc w:val="left"/>
      <w:pPr>
        <w:tabs>
          <w:tab w:val="num" w:pos="1134"/>
        </w:tabs>
        <w:ind w:left="1814" w:firstLine="0"/>
      </w:pPr>
      <w:rPr>
        <w:rFonts w:hint="default"/>
        <w:lang w:val="en-GB"/>
      </w:rPr>
    </w:lvl>
    <w:lvl w:ilvl="1">
      <w:start w:val="1"/>
      <w:numFmt w:val="lowerLetter"/>
      <w:lvlText w:val="(%2)"/>
      <w:lvlJc w:val="left"/>
      <w:pPr>
        <w:tabs>
          <w:tab w:val="num" w:pos="1275"/>
        </w:tabs>
        <w:ind w:left="1955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381"/>
        </w:tabs>
        <w:ind w:left="4762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532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362"/>
        </w:tabs>
        <w:ind w:left="83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82"/>
        </w:tabs>
        <w:ind w:left="90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802"/>
        </w:tabs>
        <w:ind w:left="9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522"/>
        </w:tabs>
        <w:ind w:left="105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242"/>
        </w:tabs>
        <w:ind w:left="11242" w:hanging="180"/>
      </w:pPr>
      <w:rPr>
        <w:rFonts w:hint="default"/>
      </w:rPr>
    </w:lvl>
  </w:abstractNum>
  <w:abstractNum w:abstractNumId="22">
    <w:nsid w:val="46EF7A42"/>
    <w:multiLevelType w:val="multilevel"/>
    <w:tmpl w:val="03ECBC56"/>
    <w:lvl w:ilvl="0">
      <w:start w:val="1"/>
      <w:numFmt w:val="decimal"/>
      <w:lvlText w:val="%1."/>
      <w:lvlJc w:val="left"/>
      <w:pPr>
        <w:tabs>
          <w:tab w:val="num" w:pos="313"/>
        </w:tabs>
        <w:ind w:left="993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3177"/>
        </w:tabs>
        <w:ind w:left="3857" w:firstLine="567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560"/>
        </w:tabs>
        <w:ind w:left="394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60"/>
        </w:tabs>
        <w:ind w:left="450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541"/>
        </w:tabs>
        <w:ind w:left="75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61"/>
        </w:tabs>
        <w:ind w:left="82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81"/>
        </w:tabs>
        <w:ind w:left="89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701"/>
        </w:tabs>
        <w:ind w:left="97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21"/>
        </w:tabs>
        <w:ind w:left="10421" w:hanging="180"/>
      </w:pPr>
      <w:rPr>
        <w:rFonts w:hint="default"/>
      </w:rPr>
    </w:lvl>
  </w:abstractNum>
  <w:abstractNum w:abstractNumId="23">
    <w:nsid w:val="473A4CA6"/>
    <w:multiLevelType w:val="multilevel"/>
    <w:tmpl w:val="6400AE8E"/>
    <w:lvl w:ilvl="0">
      <w:start w:val="1"/>
      <w:numFmt w:val="decimal"/>
      <w:lvlText w:val="%1."/>
      <w:lvlJc w:val="left"/>
      <w:pPr>
        <w:tabs>
          <w:tab w:val="num" w:pos="1134"/>
        </w:tabs>
        <w:ind w:left="1814" w:firstLine="0"/>
      </w:pPr>
      <w:rPr>
        <w:rFonts w:hint="default"/>
        <w:lang w:val="en-GB"/>
      </w:rPr>
    </w:lvl>
    <w:lvl w:ilvl="1">
      <w:start w:val="1"/>
      <w:numFmt w:val="lowerLetter"/>
      <w:lvlText w:val="(%2)"/>
      <w:lvlJc w:val="left"/>
      <w:pPr>
        <w:tabs>
          <w:tab w:val="num" w:pos="1275"/>
        </w:tabs>
        <w:ind w:left="1955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381"/>
        </w:tabs>
        <w:ind w:left="4762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532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362"/>
        </w:tabs>
        <w:ind w:left="83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82"/>
        </w:tabs>
        <w:ind w:left="90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802"/>
        </w:tabs>
        <w:ind w:left="9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522"/>
        </w:tabs>
        <w:ind w:left="105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242"/>
        </w:tabs>
        <w:ind w:left="11242" w:hanging="180"/>
      </w:pPr>
      <w:rPr>
        <w:rFonts w:hint="default"/>
      </w:rPr>
    </w:lvl>
  </w:abstractNum>
  <w:abstractNum w:abstractNumId="24">
    <w:nsid w:val="4B413401"/>
    <w:multiLevelType w:val="hybridMultilevel"/>
    <w:tmpl w:val="D4F657FC"/>
    <w:lvl w:ilvl="0" w:tplc="BC40926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388A54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>
    <w:nsid w:val="52B1242D"/>
    <w:multiLevelType w:val="hybridMultilevel"/>
    <w:tmpl w:val="32FA1F8C"/>
    <w:lvl w:ilvl="0" w:tplc="08090015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>
    <w:nsid w:val="54C1309F"/>
    <w:multiLevelType w:val="multilevel"/>
    <w:tmpl w:val="89A02EF4"/>
    <w:lvl w:ilvl="0">
      <w:start w:val="1"/>
      <w:numFmt w:val="decimal"/>
      <w:lvlText w:val="%1."/>
      <w:lvlJc w:val="left"/>
      <w:pPr>
        <w:ind w:left="1607" w:firstLine="124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47" w:firstLine="181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948" w:firstLine="238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515" w:firstLine="2948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4082" w:firstLine="351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835" w:firstLine="76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55" w:firstLine="81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275" w:firstLine="891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95" w:firstLine="9815"/>
      </w:pPr>
      <w:rPr>
        <w:rFonts w:hint="default"/>
      </w:rPr>
    </w:lvl>
  </w:abstractNum>
  <w:abstractNum w:abstractNumId="28">
    <w:nsid w:val="56414806"/>
    <w:multiLevelType w:val="hybridMultilevel"/>
    <w:tmpl w:val="05CE3260"/>
    <w:lvl w:ilvl="0" w:tplc="084C8E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822D8"/>
    <w:multiLevelType w:val="multilevel"/>
    <w:tmpl w:val="D4F8C204"/>
    <w:lvl w:ilvl="0">
      <w:start w:val="3"/>
      <w:numFmt w:val="upperRoman"/>
      <w:lvlText w:val="%1."/>
      <w:lvlJc w:val="right"/>
      <w:pPr>
        <w:ind w:left="851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571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291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3011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731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451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171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891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611" w:firstLine="6120"/>
      </w:pPr>
      <w:rPr>
        <w:u w:val="none"/>
      </w:rPr>
    </w:lvl>
  </w:abstractNum>
  <w:abstractNum w:abstractNumId="30">
    <w:nsid w:val="5D635D55"/>
    <w:multiLevelType w:val="hybridMultilevel"/>
    <w:tmpl w:val="BD90DB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84DDE"/>
    <w:multiLevelType w:val="singleLevel"/>
    <w:tmpl w:val="0FF0D03E"/>
    <w:lvl w:ilvl="0">
      <w:start w:val="2"/>
      <w:numFmt w:val="bullet"/>
      <w:lvlText w:val="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32">
    <w:nsid w:val="61EF61E0"/>
    <w:multiLevelType w:val="hybridMultilevel"/>
    <w:tmpl w:val="43CA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26780"/>
    <w:multiLevelType w:val="multilevel"/>
    <w:tmpl w:val="E70A1588"/>
    <w:lvl w:ilvl="0">
      <w:start w:val="1"/>
      <w:numFmt w:val="decimal"/>
      <w:lvlText w:val="%1."/>
      <w:lvlJc w:val="left"/>
      <w:pPr>
        <w:tabs>
          <w:tab w:val="num" w:pos="1134"/>
        </w:tabs>
        <w:ind w:left="1814" w:firstLine="0"/>
      </w:pPr>
      <w:rPr>
        <w:rFonts w:hint="default"/>
        <w:lang w:val="en-GB"/>
      </w:rPr>
    </w:lvl>
    <w:lvl w:ilvl="1">
      <w:start w:val="1"/>
      <w:numFmt w:val="lowerLetter"/>
      <w:lvlText w:val="(%2)"/>
      <w:lvlJc w:val="left"/>
      <w:pPr>
        <w:tabs>
          <w:tab w:val="num" w:pos="1275"/>
        </w:tabs>
        <w:ind w:left="1955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381"/>
        </w:tabs>
        <w:ind w:left="4762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532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362"/>
        </w:tabs>
        <w:ind w:left="83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82"/>
        </w:tabs>
        <w:ind w:left="90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802"/>
        </w:tabs>
        <w:ind w:left="9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522"/>
        </w:tabs>
        <w:ind w:left="105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242"/>
        </w:tabs>
        <w:ind w:left="11242" w:hanging="180"/>
      </w:pPr>
      <w:rPr>
        <w:rFonts w:hint="default"/>
      </w:rPr>
    </w:lvl>
  </w:abstractNum>
  <w:abstractNum w:abstractNumId="34">
    <w:nsid w:val="68752A60"/>
    <w:multiLevelType w:val="hybridMultilevel"/>
    <w:tmpl w:val="239098E0"/>
    <w:lvl w:ilvl="0" w:tplc="3A5C3D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C617F"/>
    <w:multiLevelType w:val="multilevel"/>
    <w:tmpl w:val="00FE5BB8"/>
    <w:lvl w:ilvl="0">
      <w:start w:val="1"/>
      <w:numFmt w:val="decimal"/>
      <w:lvlText w:val="%1."/>
      <w:lvlJc w:val="left"/>
      <w:pPr>
        <w:ind w:left="1607" w:firstLine="1247"/>
      </w:pPr>
    </w:lvl>
    <w:lvl w:ilvl="1">
      <w:start w:val="1"/>
      <w:numFmt w:val="lowerLetter"/>
      <w:lvlText w:val="(%2)"/>
      <w:lvlJc w:val="left"/>
      <w:pPr>
        <w:ind w:left="1247" w:firstLine="1814"/>
      </w:pPr>
    </w:lvl>
    <w:lvl w:ilvl="2">
      <w:start w:val="1"/>
      <w:numFmt w:val="lowerRoman"/>
      <w:lvlText w:val="(%3)"/>
      <w:lvlJc w:val="left"/>
      <w:pPr>
        <w:ind w:left="2948" w:firstLine="2381"/>
      </w:pPr>
    </w:lvl>
    <w:lvl w:ilvl="3">
      <w:start w:val="1"/>
      <w:numFmt w:val="lowerLetter"/>
      <w:lvlText w:val="%4."/>
      <w:lvlJc w:val="left"/>
      <w:pPr>
        <w:ind w:left="3515" w:firstLine="2948"/>
      </w:pPr>
    </w:lvl>
    <w:lvl w:ilvl="4">
      <w:start w:val="1"/>
      <w:numFmt w:val="lowerRoman"/>
      <w:lvlText w:val="%5."/>
      <w:lvlJc w:val="left"/>
      <w:pPr>
        <w:ind w:left="4082" w:firstLine="3515"/>
      </w:pPr>
    </w:lvl>
    <w:lvl w:ilvl="5">
      <w:start w:val="1"/>
      <w:numFmt w:val="lowerRoman"/>
      <w:lvlText w:val="%6."/>
      <w:lvlJc w:val="right"/>
      <w:pPr>
        <w:ind w:left="7835" w:firstLine="7655"/>
      </w:pPr>
    </w:lvl>
    <w:lvl w:ilvl="6">
      <w:start w:val="1"/>
      <w:numFmt w:val="decimal"/>
      <w:lvlText w:val="%7."/>
      <w:lvlJc w:val="left"/>
      <w:pPr>
        <w:ind w:left="8555" w:firstLine="8195"/>
      </w:pPr>
    </w:lvl>
    <w:lvl w:ilvl="7">
      <w:start w:val="1"/>
      <w:numFmt w:val="lowerLetter"/>
      <w:lvlText w:val="%8."/>
      <w:lvlJc w:val="left"/>
      <w:pPr>
        <w:ind w:left="9275" w:firstLine="8915"/>
      </w:pPr>
    </w:lvl>
    <w:lvl w:ilvl="8">
      <w:start w:val="1"/>
      <w:numFmt w:val="lowerRoman"/>
      <w:lvlText w:val="%9."/>
      <w:lvlJc w:val="right"/>
      <w:pPr>
        <w:ind w:left="9995" w:firstLine="9815"/>
      </w:pPr>
    </w:lvl>
  </w:abstractNum>
  <w:abstractNum w:abstractNumId="36">
    <w:nsid w:val="6CCA4957"/>
    <w:multiLevelType w:val="hybridMultilevel"/>
    <w:tmpl w:val="47003F90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388A549A">
      <w:start w:val="1"/>
      <w:numFmt w:val="lowerLetter"/>
      <w:lvlText w:val="(%2)"/>
      <w:lvlJc w:val="left"/>
      <w:pPr>
        <w:ind w:left="404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7">
    <w:nsid w:val="6E2A1233"/>
    <w:multiLevelType w:val="hybridMultilevel"/>
    <w:tmpl w:val="E51C097C"/>
    <w:lvl w:ilvl="0" w:tplc="0809000F">
      <w:start w:val="1"/>
      <w:numFmt w:val="decimal"/>
      <w:lvlText w:val="%1."/>
      <w:lvlJc w:val="left"/>
      <w:pPr>
        <w:ind w:left="3054" w:hanging="360"/>
      </w:pPr>
    </w:lvl>
    <w:lvl w:ilvl="1" w:tplc="388A549A">
      <w:start w:val="1"/>
      <w:numFmt w:val="lowerLetter"/>
      <w:lvlText w:val="%2)"/>
      <w:lvlJc w:val="left"/>
      <w:pPr>
        <w:ind w:left="37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8">
    <w:nsid w:val="75117113"/>
    <w:multiLevelType w:val="hybridMultilevel"/>
    <w:tmpl w:val="13006192"/>
    <w:lvl w:ilvl="0" w:tplc="5358D7C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C1376F"/>
    <w:multiLevelType w:val="hybridMultilevel"/>
    <w:tmpl w:val="0ADCD64A"/>
    <w:lvl w:ilvl="0" w:tplc="C3E4AB66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62126C9"/>
    <w:multiLevelType w:val="hybridMultilevel"/>
    <w:tmpl w:val="CC08EDDE"/>
    <w:lvl w:ilvl="0" w:tplc="06705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92A72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23092">
      <w:start w:val="14"/>
      <w:numFmt w:val="decimal"/>
      <w:lvlText w:val="%4"/>
      <w:lvlJc w:val="left"/>
      <w:pPr>
        <w:ind w:left="720" w:hanging="360"/>
      </w:pPr>
      <w:rPr>
        <w:rFonts w:hint="default"/>
        <w:i w:val="0"/>
      </w:rPr>
    </w:lvl>
    <w:lvl w:ilvl="4" w:tplc="3092A726">
      <w:start w:val="1"/>
      <w:numFmt w:val="decimal"/>
      <w:lvlText w:val="%5.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630"/>
        </w:tabs>
        <w:ind w:left="630" w:hanging="180"/>
      </w:pPr>
    </w:lvl>
    <w:lvl w:ilvl="6" w:tplc="20D04ECA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5F9E"/>
    <w:multiLevelType w:val="multilevel"/>
    <w:tmpl w:val="0C1281BC"/>
    <w:lvl w:ilvl="0">
      <w:start w:val="1"/>
      <w:numFmt w:val="lowerLetter"/>
      <w:lvlText w:val="(%1)"/>
      <w:lvlJc w:val="left"/>
      <w:pPr>
        <w:tabs>
          <w:tab w:val="num" w:pos="1134"/>
        </w:tabs>
        <w:ind w:left="1814" w:firstLine="0"/>
      </w:pPr>
      <w:rPr>
        <w:rFonts w:hint="default"/>
        <w:lang w:val="en-GB"/>
      </w:rPr>
    </w:lvl>
    <w:lvl w:ilvl="1">
      <w:start w:val="1"/>
      <w:numFmt w:val="lowerLetter"/>
      <w:lvlText w:val="(%2)"/>
      <w:lvlJc w:val="left"/>
      <w:pPr>
        <w:tabs>
          <w:tab w:val="num" w:pos="1275"/>
        </w:tabs>
        <w:ind w:left="1955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381"/>
        </w:tabs>
        <w:ind w:left="4762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532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362"/>
        </w:tabs>
        <w:ind w:left="83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82"/>
        </w:tabs>
        <w:ind w:left="90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802"/>
        </w:tabs>
        <w:ind w:left="9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522"/>
        </w:tabs>
        <w:ind w:left="105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242"/>
        </w:tabs>
        <w:ind w:left="11242" w:hanging="180"/>
      </w:pPr>
      <w:rPr>
        <w:rFonts w:hint="default"/>
      </w:rPr>
    </w:lvl>
  </w:abstractNum>
  <w:abstractNum w:abstractNumId="42">
    <w:nsid w:val="7C2B44DF"/>
    <w:multiLevelType w:val="hybridMultilevel"/>
    <w:tmpl w:val="C5D4D93A"/>
    <w:lvl w:ilvl="0" w:tplc="077EDA1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5515B"/>
    <w:multiLevelType w:val="hybridMultilevel"/>
    <w:tmpl w:val="B544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6"/>
  </w:num>
  <w:num w:numId="4">
    <w:abstractNumId w:val="16"/>
  </w:num>
  <w:num w:numId="5">
    <w:abstractNumId w:val="25"/>
  </w:num>
  <w:num w:numId="6">
    <w:abstractNumId w:val="22"/>
  </w:num>
  <w:num w:numId="7">
    <w:abstractNumId w:val="33"/>
  </w:num>
  <w:num w:numId="8">
    <w:abstractNumId w:val="10"/>
  </w:num>
  <w:num w:numId="9">
    <w:abstractNumId w:val="23"/>
  </w:num>
  <w:num w:numId="10">
    <w:abstractNumId w:val="34"/>
  </w:num>
  <w:num w:numId="11">
    <w:abstractNumId w:val="42"/>
  </w:num>
  <w:num w:numId="12">
    <w:abstractNumId w:val="30"/>
  </w:num>
  <w:num w:numId="13">
    <w:abstractNumId w:val="39"/>
  </w:num>
  <w:num w:numId="14">
    <w:abstractNumId w:val="8"/>
  </w:num>
  <w:num w:numId="15">
    <w:abstractNumId w:val="28"/>
  </w:num>
  <w:num w:numId="16">
    <w:abstractNumId w:val="43"/>
  </w:num>
  <w:num w:numId="17">
    <w:abstractNumId w:val="32"/>
  </w:num>
  <w:num w:numId="18">
    <w:abstractNumId w:val="12"/>
  </w:num>
  <w:num w:numId="19">
    <w:abstractNumId w:val="14"/>
  </w:num>
  <w:num w:numId="20">
    <w:abstractNumId w:val="38"/>
  </w:num>
  <w:num w:numId="21">
    <w:abstractNumId w:val="36"/>
  </w:num>
  <w:num w:numId="22">
    <w:abstractNumId w:val="0"/>
  </w:num>
  <w:num w:numId="23">
    <w:abstractNumId w:val="3"/>
  </w:num>
  <w:num w:numId="24">
    <w:abstractNumId w:val="2"/>
  </w:num>
  <w:num w:numId="25">
    <w:abstractNumId w:val="9"/>
  </w:num>
  <w:num w:numId="26">
    <w:abstractNumId w:val="5"/>
  </w:num>
  <w:num w:numId="27">
    <w:abstractNumId w:val="19"/>
  </w:num>
  <w:num w:numId="28">
    <w:abstractNumId w:val="20"/>
  </w:num>
  <w:num w:numId="29">
    <w:abstractNumId w:val="29"/>
  </w:num>
  <w:num w:numId="30">
    <w:abstractNumId w:val="27"/>
  </w:num>
  <w:num w:numId="31">
    <w:abstractNumId w:val="7"/>
  </w:num>
  <w:num w:numId="32">
    <w:abstractNumId w:val="11"/>
  </w:num>
  <w:num w:numId="33">
    <w:abstractNumId w:val="35"/>
  </w:num>
  <w:num w:numId="34">
    <w:abstractNumId w:val="40"/>
  </w:num>
  <w:num w:numId="35">
    <w:abstractNumId w:val="24"/>
  </w:num>
  <w:num w:numId="36">
    <w:abstractNumId w:val="4"/>
  </w:num>
  <w:num w:numId="37">
    <w:abstractNumId w:val="13"/>
  </w:num>
  <w:num w:numId="38">
    <w:abstractNumId w:val="18"/>
  </w:num>
  <w:num w:numId="39">
    <w:abstractNumId w:val="15"/>
  </w:num>
  <w:num w:numId="40">
    <w:abstractNumId w:val="21"/>
  </w:num>
  <w:num w:numId="41">
    <w:abstractNumId w:val="1"/>
  </w:num>
  <w:num w:numId="42">
    <w:abstractNumId w:val="41"/>
  </w:num>
  <w:num w:numId="43">
    <w:abstractNumId w:val="17"/>
  </w:num>
  <w:num w:numId="44">
    <w:abstractNumId w:val="26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CC"/>
    <w:rsid w:val="00006499"/>
    <w:rsid w:val="00021671"/>
    <w:rsid w:val="00031B89"/>
    <w:rsid w:val="00032343"/>
    <w:rsid w:val="00040922"/>
    <w:rsid w:val="00054FFE"/>
    <w:rsid w:val="00080C85"/>
    <w:rsid w:val="000914C9"/>
    <w:rsid w:val="000934E3"/>
    <w:rsid w:val="000A7151"/>
    <w:rsid w:val="000B449C"/>
    <w:rsid w:val="000C0539"/>
    <w:rsid w:val="000C2B48"/>
    <w:rsid w:val="000C4053"/>
    <w:rsid w:val="000D2F6E"/>
    <w:rsid w:val="000F0F8B"/>
    <w:rsid w:val="00152A5D"/>
    <w:rsid w:val="001B1848"/>
    <w:rsid w:val="001B5DA1"/>
    <w:rsid w:val="001C0D62"/>
    <w:rsid w:val="001C1077"/>
    <w:rsid w:val="001E35C4"/>
    <w:rsid w:val="001F06FA"/>
    <w:rsid w:val="00224AF6"/>
    <w:rsid w:val="00224D74"/>
    <w:rsid w:val="00236A42"/>
    <w:rsid w:val="00243D35"/>
    <w:rsid w:val="00266149"/>
    <w:rsid w:val="002818C2"/>
    <w:rsid w:val="002916EC"/>
    <w:rsid w:val="002A7450"/>
    <w:rsid w:val="002C271C"/>
    <w:rsid w:val="002D117C"/>
    <w:rsid w:val="0031580D"/>
    <w:rsid w:val="003203FA"/>
    <w:rsid w:val="003555DF"/>
    <w:rsid w:val="00395D31"/>
    <w:rsid w:val="003A3071"/>
    <w:rsid w:val="003D4EDD"/>
    <w:rsid w:val="003F6D2A"/>
    <w:rsid w:val="00400948"/>
    <w:rsid w:val="00413086"/>
    <w:rsid w:val="00422994"/>
    <w:rsid w:val="004331DE"/>
    <w:rsid w:val="004356D8"/>
    <w:rsid w:val="00440D52"/>
    <w:rsid w:val="0044152F"/>
    <w:rsid w:val="00466EF5"/>
    <w:rsid w:val="00475B53"/>
    <w:rsid w:val="00490067"/>
    <w:rsid w:val="004A3F69"/>
    <w:rsid w:val="004B6705"/>
    <w:rsid w:val="004C48A3"/>
    <w:rsid w:val="004C6B84"/>
    <w:rsid w:val="004D22CA"/>
    <w:rsid w:val="004E2A75"/>
    <w:rsid w:val="004E70C3"/>
    <w:rsid w:val="0050288D"/>
    <w:rsid w:val="00510EDA"/>
    <w:rsid w:val="00516592"/>
    <w:rsid w:val="005166F6"/>
    <w:rsid w:val="00537FDC"/>
    <w:rsid w:val="005506C6"/>
    <w:rsid w:val="00550D89"/>
    <w:rsid w:val="00564D4A"/>
    <w:rsid w:val="0059527D"/>
    <w:rsid w:val="005A6B25"/>
    <w:rsid w:val="005B5F52"/>
    <w:rsid w:val="005C02F3"/>
    <w:rsid w:val="005D379F"/>
    <w:rsid w:val="005F1A56"/>
    <w:rsid w:val="00625C29"/>
    <w:rsid w:val="00627AB8"/>
    <w:rsid w:val="00644CB8"/>
    <w:rsid w:val="0068583A"/>
    <w:rsid w:val="006A6238"/>
    <w:rsid w:val="006D3217"/>
    <w:rsid w:val="006E25BE"/>
    <w:rsid w:val="006F7336"/>
    <w:rsid w:val="00726019"/>
    <w:rsid w:val="00730A4C"/>
    <w:rsid w:val="00731340"/>
    <w:rsid w:val="007377A4"/>
    <w:rsid w:val="007477CD"/>
    <w:rsid w:val="007517D6"/>
    <w:rsid w:val="00771C30"/>
    <w:rsid w:val="00780088"/>
    <w:rsid w:val="00782E4B"/>
    <w:rsid w:val="00784732"/>
    <w:rsid w:val="007854DD"/>
    <w:rsid w:val="007D018E"/>
    <w:rsid w:val="007E14FF"/>
    <w:rsid w:val="007E27C3"/>
    <w:rsid w:val="007F485F"/>
    <w:rsid w:val="008115ED"/>
    <w:rsid w:val="008230FA"/>
    <w:rsid w:val="00824C97"/>
    <w:rsid w:val="0083118C"/>
    <w:rsid w:val="00835C99"/>
    <w:rsid w:val="008711E0"/>
    <w:rsid w:val="0089724A"/>
    <w:rsid w:val="008A2A50"/>
    <w:rsid w:val="008A41C5"/>
    <w:rsid w:val="008A5163"/>
    <w:rsid w:val="008C4187"/>
    <w:rsid w:val="008F394C"/>
    <w:rsid w:val="00903252"/>
    <w:rsid w:val="00905DB0"/>
    <w:rsid w:val="0092763D"/>
    <w:rsid w:val="00932B46"/>
    <w:rsid w:val="009373BD"/>
    <w:rsid w:val="009D4A87"/>
    <w:rsid w:val="009F1B6E"/>
    <w:rsid w:val="009F3B77"/>
    <w:rsid w:val="00A2332E"/>
    <w:rsid w:val="00A571FD"/>
    <w:rsid w:val="00A62187"/>
    <w:rsid w:val="00A72661"/>
    <w:rsid w:val="00A7292F"/>
    <w:rsid w:val="00A73074"/>
    <w:rsid w:val="00A776D9"/>
    <w:rsid w:val="00A916E3"/>
    <w:rsid w:val="00AA5056"/>
    <w:rsid w:val="00AB3E2C"/>
    <w:rsid w:val="00AE5168"/>
    <w:rsid w:val="00B2052E"/>
    <w:rsid w:val="00B67663"/>
    <w:rsid w:val="00B7779A"/>
    <w:rsid w:val="00B852B0"/>
    <w:rsid w:val="00B939CF"/>
    <w:rsid w:val="00BB4D0A"/>
    <w:rsid w:val="00BC53CC"/>
    <w:rsid w:val="00BD475D"/>
    <w:rsid w:val="00BD4D83"/>
    <w:rsid w:val="00BD7EDF"/>
    <w:rsid w:val="00C00073"/>
    <w:rsid w:val="00C2288F"/>
    <w:rsid w:val="00C250F4"/>
    <w:rsid w:val="00C41CC7"/>
    <w:rsid w:val="00C4660D"/>
    <w:rsid w:val="00C56C4C"/>
    <w:rsid w:val="00C60A15"/>
    <w:rsid w:val="00C75451"/>
    <w:rsid w:val="00C84E32"/>
    <w:rsid w:val="00C84EF5"/>
    <w:rsid w:val="00CA66DF"/>
    <w:rsid w:val="00CD46AF"/>
    <w:rsid w:val="00CD72BB"/>
    <w:rsid w:val="00CE7D9A"/>
    <w:rsid w:val="00D0451C"/>
    <w:rsid w:val="00D04E33"/>
    <w:rsid w:val="00D05EC2"/>
    <w:rsid w:val="00D12F17"/>
    <w:rsid w:val="00D15798"/>
    <w:rsid w:val="00D24126"/>
    <w:rsid w:val="00D36C43"/>
    <w:rsid w:val="00D75DF9"/>
    <w:rsid w:val="00D93D2D"/>
    <w:rsid w:val="00DA0367"/>
    <w:rsid w:val="00DA32CB"/>
    <w:rsid w:val="00DA5A61"/>
    <w:rsid w:val="00DA6689"/>
    <w:rsid w:val="00DB4795"/>
    <w:rsid w:val="00DC520B"/>
    <w:rsid w:val="00DD42B5"/>
    <w:rsid w:val="00DF300C"/>
    <w:rsid w:val="00E06E6E"/>
    <w:rsid w:val="00E16119"/>
    <w:rsid w:val="00E202FA"/>
    <w:rsid w:val="00E22216"/>
    <w:rsid w:val="00E4388B"/>
    <w:rsid w:val="00E50824"/>
    <w:rsid w:val="00E66D62"/>
    <w:rsid w:val="00E8351F"/>
    <w:rsid w:val="00E85E66"/>
    <w:rsid w:val="00E9232D"/>
    <w:rsid w:val="00E92DCD"/>
    <w:rsid w:val="00EB18AD"/>
    <w:rsid w:val="00EB6213"/>
    <w:rsid w:val="00EB6729"/>
    <w:rsid w:val="00EF014C"/>
    <w:rsid w:val="00EF5B47"/>
    <w:rsid w:val="00F356A9"/>
    <w:rsid w:val="00F35E38"/>
    <w:rsid w:val="00F37347"/>
    <w:rsid w:val="00F66B77"/>
    <w:rsid w:val="00F72C94"/>
    <w:rsid w:val="00F82403"/>
    <w:rsid w:val="00F9510A"/>
    <w:rsid w:val="00FA6407"/>
    <w:rsid w:val="00FC73A8"/>
    <w:rsid w:val="00FE055F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ru-R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  <w:ind w:left="1247" w:hanging="680"/>
      <w:outlineLvl w:val="3"/>
    </w:pPr>
    <w:rPr>
      <w:rFonts w:eastAsia="MS Mincho"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50824"/>
    <w:pPr>
      <w:keepNext/>
      <w:tabs>
        <w:tab w:val="left" w:pos="1247"/>
        <w:tab w:val="left" w:pos="1814"/>
        <w:tab w:val="left" w:pos="2381"/>
        <w:tab w:val="left" w:pos="2948"/>
        <w:tab w:val="left" w:pos="3515"/>
      </w:tabs>
      <w:outlineLvl w:val="4"/>
    </w:pPr>
    <w:rPr>
      <w:rFonts w:ascii="Univers" w:eastAsia="MS Mincho" w:hAnsi="Univers"/>
      <w:b/>
      <w:color w:val="000000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50824"/>
    <w:pPr>
      <w:keepNext/>
      <w:tabs>
        <w:tab w:val="left" w:pos="1247"/>
        <w:tab w:val="left" w:pos="1814"/>
        <w:tab w:val="left" w:pos="2381"/>
        <w:tab w:val="left" w:pos="2948"/>
        <w:tab w:val="left" w:pos="3515"/>
      </w:tabs>
      <w:ind w:left="578"/>
      <w:outlineLvl w:val="5"/>
    </w:pPr>
    <w:rPr>
      <w:rFonts w:eastAsia="MS Mincho"/>
      <w:b/>
      <w:bCs/>
      <w:color w:val="000000"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E50824"/>
    <w:pPr>
      <w:keepNext/>
      <w:widowControl w:val="0"/>
      <w:tabs>
        <w:tab w:val="left" w:pos="1247"/>
        <w:tab w:val="left" w:pos="1814"/>
        <w:tab w:val="left" w:pos="2381"/>
        <w:tab w:val="left" w:pos="2948"/>
        <w:tab w:val="left" w:pos="3515"/>
      </w:tabs>
      <w:jc w:val="center"/>
      <w:outlineLvl w:val="6"/>
    </w:pPr>
    <w:rPr>
      <w:rFonts w:eastAsia="MS Mincho"/>
      <w:snapToGrid w:val="0"/>
      <w:color w:val="000000"/>
      <w:sz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E50824"/>
    <w:pPr>
      <w:keepNext/>
      <w:widowControl w:val="0"/>
      <w:numPr>
        <w:numId w:val="3"/>
      </w:numPr>
      <w:tabs>
        <w:tab w:val="left" w:pos="-1440"/>
        <w:tab w:val="left" w:pos="-720"/>
        <w:tab w:val="left" w:pos="1247"/>
        <w:tab w:val="left" w:pos="1814"/>
        <w:tab w:val="left" w:pos="2381"/>
        <w:tab w:val="left" w:pos="2948"/>
        <w:tab w:val="left" w:pos="3515"/>
      </w:tabs>
      <w:suppressAutoHyphens/>
      <w:jc w:val="center"/>
      <w:outlineLvl w:val="7"/>
    </w:pPr>
    <w:rPr>
      <w:rFonts w:eastAsia="MS Mincho"/>
      <w:snapToGrid w:val="0"/>
      <w:color w:val="000000"/>
      <w:sz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E50824"/>
    <w:pPr>
      <w:keepNext/>
      <w:widowControl w:val="0"/>
      <w:numPr>
        <w:numId w:val="4"/>
      </w:num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jc w:val="center"/>
      <w:outlineLvl w:val="8"/>
    </w:pPr>
    <w:rPr>
      <w:rFonts w:eastAsia="MS Mincho"/>
      <w:snapToGrid w:val="0"/>
      <w:color w:val="000000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-E Fußnotentext,Fußnote,Fußnotentext Ursprung,footnote text,Geneva 9,Font: Geneva 9,Boston 10,f,ft,fn,Footnotes,Footnote ak,fn cafc,Footnotes Char Char,Footnote Text Char Char,fn Char Char,footnote text Char Char Char Ch,single space"/>
    <w:basedOn w:val="Normal"/>
    <w:link w:val="FootnoteTextChar"/>
    <w:uiPriority w:val="99"/>
    <w:rPr>
      <w:sz w:val="20"/>
    </w:rPr>
  </w:style>
  <w:style w:type="character" w:styleId="FootnoteReference">
    <w:name w:val="footnote reference"/>
    <w:aliases w:val="16 Point,Superscript 6 Point,(Ref. de nota al pie),Footnote Reference1,ftref"/>
    <w:uiPriority w:val="99"/>
    <w:qFormat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BTitle">
    <w:name w:val="BB_Title"/>
    <w:basedOn w:val="Normal"/>
    <w:rsid w:val="00EB6729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umber">
    <w:name w:val="Normal_number"/>
    <w:basedOn w:val="Normal"/>
    <w:link w:val="NormalnumberChar"/>
    <w:rsid w:val="00EB672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4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1CC7"/>
    <w:rPr>
      <w:rFonts w:ascii="Tahoma" w:hAnsi="Tahoma" w:cs="Tahoma"/>
      <w:sz w:val="16"/>
      <w:szCs w:val="16"/>
      <w:lang w:val="ru-RU"/>
    </w:rPr>
  </w:style>
  <w:style w:type="paragraph" w:customStyle="1" w:styleId="Titlefigure">
    <w:name w:val="Title_figure"/>
    <w:basedOn w:val="Normal"/>
    <w:next w:val="Normal"/>
    <w:rsid w:val="0040094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b/>
      <w:sz w:val="20"/>
      <w:lang w:val="en-GB"/>
    </w:rPr>
  </w:style>
  <w:style w:type="paragraph" w:styleId="ListParagraph">
    <w:name w:val="List Paragraph"/>
    <w:basedOn w:val="Normal"/>
    <w:uiPriority w:val="34"/>
    <w:qFormat/>
    <w:rsid w:val="00236A42"/>
    <w:pPr>
      <w:ind w:left="720"/>
      <w:contextualSpacing/>
    </w:pPr>
  </w:style>
  <w:style w:type="character" w:customStyle="1" w:styleId="FootnoteTextChar">
    <w:name w:val="Footnote Text Char"/>
    <w:aliases w:val="-E Fußnotentext Char,Fußnote Char,Fußnotentext Ursprung Char,footnote text Char,Geneva 9 Char,Font: Geneva 9 Char,Boston 10 Char,f Char,ft Char,fn Char,Footnotes Char,Footnote ak Char,fn cafc Char,Footnotes Char Char Char"/>
    <w:link w:val="FootnoteText"/>
    <w:uiPriority w:val="99"/>
    <w:rsid w:val="001C0D62"/>
    <w:rPr>
      <w:lang w:val="ru-RU"/>
    </w:rPr>
  </w:style>
  <w:style w:type="character" w:customStyle="1" w:styleId="Heading4Char">
    <w:name w:val="Heading 4 Char"/>
    <w:basedOn w:val="DefaultParagraphFont"/>
    <w:link w:val="Heading4"/>
    <w:rsid w:val="00E50824"/>
    <w:rPr>
      <w:rFonts w:eastAsia="MS Mincho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E50824"/>
    <w:rPr>
      <w:rFonts w:ascii="Univers" w:eastAsia="MS Mincho" w:hAnsi="Univers"/>
      <w:b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E50824"/>
    <w:rPr>
      <w:rFonts w:eastAsia="MS Mincho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E50824"/>
    <w:rPr>
      <w:rFonts w:eastAsia="MS Mincho"/>
      <w:snapToGrid w:val="0"/>
      <w:color w:val="000000"/>
      <w:u w:val="single"/>
    </w:rPr>
  </w:style>
  <w:style w:type="character" w:customStyle="1" w:styleId="Heading8Char">
    <w:name w:val="Heading 8 Char"/>
    <w:basedOn w:val="DefaultParagraphFont"/>
    <w:link w:val="Heading8"/>
    <w:rsid w:val="00E50824"/>
    <w:rPr>
      <w:rFonts w:eastAsia="MS Mincho"/>
      <w:snapToGrid w:val="0"/>
      <w:color w:val="000000"/>
      <w:u w:val="single"/>
    </w:rPr>
  </w:style>
  <w:style w:type="character" w:customStyle="1" w:styleId="Heading9Char">
    <w:name w:val="Heading 9 Char"/>
    <w:basedOn w:val="DefaultParagraphFont"/>
    <w:link w:val="Heading9"/>
    <w:rsid w:val="00E50824"/>
    <w:rPr>
      <w:rFonts w:eastAsia="MS Mincho"/>
      <w:snapToGrid w:val="0"/>
      <w:color w:val="000000"/>
      <w:u w:val="single"/>
    </w:rPr>
  </w:style>
  <w:style w:type="table" w:customStyle="1" w:styleId="Tabledocright">
    <w:name w:val="Table_doc_right"/>
    <w:basedOn w:val="TableNormal"/>
    <w:rsid w:val="00E50824"/>
    <w:pPr>
      <w:spacing w:before="40" w:after="40"/>
    </w:pPr>
    <w:rPr>
      <w:rFonts w:eastAsia="SimSun"/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rsid w:val="00E50824"/>
    <w:pPr>
      <w:tabs>
        <w:tab w:val="left" w:pos="1247"/>
      </w:tabs>
      <w:ind w:left="1000"/>
    </w:pPr>
    <w:rPr>
      <w:rFonts w:eastAsia="MS Mincho"/>
      <w:color w:val="000000"/>
      <w:sz w:val="18"/>
      <w:szCs w:val="18"/>
      <w:lang w:val="en-US"/>
    </w:rPr>
  </w:style>
  <w:style w:type="paragraph" w:styleId="TOC7">
    <w:name w:val="toc 7"/>
    <w:basedOn w:val="Normal"/>
    <w:next w:val="Normal"/>
    <w:autoRedefine/>
    <w:rsid w:val="00E50824"/>
    <w:pPr>
      <w:tabs>
        <w:tab w:val="left" w:pos="1247"/>
      </w:tabs>
      <w:ind w:left="1200"/>
    </w:pPr>
    <w:rPr>
      <w:rFonts w:eastAsia="MS Mincho"/>
      <w:color w:val="000000"/>
      <w:sz w:val="18"/>
      <w:szCs w:val="18"/>
      <w:lang w:val="en-US"/>
    </w:rPr>
  </w:style>
  <w:style w:type="paragraph" w:styleId="TOC8">
    <w:name w:val="toc 8"/>
    <w:basedOn w:val="Normal"/>
    <w:next w:val="Normal"/>
    <w:autoRedefine/>
    <w:rsid w:val="00E50824"/>
    <w:pPr>
      <w:tabs>
        <w:tab w:val="left" w:pos="1247"/>
      </w:tabs>
      <w:ind w:left="1400"/>
    </w:pPr>
    <w:rPr>
      <w:rFonts w:eastAsia="MS Mincho"/>
      <w:color w:val="000000"/>
      <w:sz w:val="18"/>
      <w:szCs w:val="18"/>
      <w:lang w:val="en-US"/>
    </w:rPr>
  </w:style>
  <w:style w:type="paragraph" w:styleId="TOC9">
    <w:name w:val="toc 9"/>
    <w:basedOn w:val="Normal"/>
    <w:next w:val="Normal"/>
    <w:autoRedefine/>
    <w:rsid w:val="00E50824"/>
    <w:pPr>
      <w:tabs>
        <w:tab w:val="left" w:pos="1247"/>
      </w:tabs>
      <w:ind w:left="1600"/>
    </w:pPr>
    <w:rPr>
      <w:rFonts w:eastAsia="MS Mincho"/>
      <w:color w:val="000000"/>
      <w:sz w:val="18"/>
      <w:szCs w:val="18"/>
      <w:lang w:val="en-US"/>
    </w:rPr>
  </w:style>
  <w:style w:type="paragraph" w:styleId="TableofFigures">
    <w:name w:val="table of figures"/>
    <w:basedOn w:val="Normal"/>
    <w:next w:val="Normal"/>
    <w:autoRedefine/>
    <w:rsid w:val="00E50824"/>
    <w:pPr>
      <w:tabs>
        <w:tab w:val="left" w:pos="1247"/>
      </w:tabs>
      <w:ind w:left="1814" w:hanging="567"/>
    </w:pPr>
    <w:rPr>
      <w:rFonts w:eastAsia="MS Mincho"/>
      <w:color w:val="000000"/>
      <w:sz w:val="20"/>
      <w:lang w:val="en-US"/>
    </w:rPr>
  </w:style>
  <w:style w:type="paragraph" w:customStyle="1" w:styleId="CH1">
    <w:name w:val="CH1"/>
    <w:basedOn w:val="Normalpool"/>
    <w:next w:val="CH2"/>
    <w:rsid w:val="00E5082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E5082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E5082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E5082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E50824"/>
    <w:rPr>
      <w:rFonts w:ascii="Arial" w:eastAsia="SimSun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E5082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eastAsia="MS Mincho"/>
      <w:b/>
      <w:color w:val="000000"/>
      <w:sz w:val="18"/>
      <w:lang w:val="en-US"/>
    </w:rPr>
  </w:style>
  <w:style w:type="paragraph" w:customStyle="1" w:styleId="Headerpool">
    <w:name w:val="Header_pool"/>
    <w:basedOn w:val="Normal"/>
    <w:next w:val="Normal"/>
    <w:semiHidden/>
    <w:rsid w:val="00E50824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eastAsia="MS Mincho"/>
      <w:b/>
      <w:color w:val="000000"/>
      <w:sz w:val="18"/>
      <w:lang w:val="en-US"/>
    </w:rPr>
  </w:style>
  <w:style w:type="paragraph" w:customStyle="1" w:styleId="Normalpool">
    <w:name w:val="Normal_pool"/>
    <w:semiHidden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SimSun"/>
      <w:lang w:val="fr-FR"/>
    </w:rPr>
  </w:style>
  <w:style w:type="paragraph" w:customStyle="1" w:styleId="Footer-pool">
    <w:name w:val="Footer-pool"/>
    <w:basedOn w:val="Normal-pool"/>
    <w:next w:val="Normal-pool"/>
    <w:rsid w:val="00E5082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E5082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SimSun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E5082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Normal-poolChar">
    <w:name w:val="Normal-pool Char"/>
    <w:link w:val="Normal-pool"/>
    <w:locked/>
    <w:rsid w:val="00E50824"/>
    <w:rPr>
      <w:rFonts w:eastAsia="SimSun"/>
      <w:lang w:val="en-GB"/>
    </w:rPr>
  </w:style>
  <w:style w:type="character" w:styleId="CommentReference">
    <w:name w:val="annotation reference"/>
    <w:uiPriority w:val="99"/>
    <w:rsid w:val="00E50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MS Mincho"/>
      <w:color w:val="000000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824"/>
    <w:rPr>
      <w:rFonts w:eastAsia="MS Mincho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08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0824"/>
    <w:rPr>
      <w:rFonts w:eastAsia="MS Mincho"/>
      <w:b/>
      <w:bCs/>
      <w:color w:val="000000"/>
      <w:sz w:val="24"/>
      <w:szCs w:val="24"/>
    </w:rPr>
  </w:style>
  <w:style w:type="paragraph" w:customStyle="1" w:styleId="MediumList2-Accent21">
    <w:name w:val="Medium List 2 - Accent 21"/>
    <w:hidden/>
    <w:uiPriority w:val="71"/>
    <w:rsid w:val="00E50824"/>
    <w:rPr>
      <w:rFonts w:eastAsia="MS Mincho"/>
      <w:color w:val="000000"/>
    </w:rPr>
  </w:style>
  <w:style w:type="character" w:customStyle="1" w:styleId="Heading1Char">
    <w:name w:val="Heading 1 Char"/>
    <w:link w:val="Heading1"/>
    <w:locked/>
    <w:rsid w:val="00E50824"/>
    <w:rPr>
      <w:b/>
      <w:sz w:val="28"/>
      <w:lang w:val="ru-RU"/>
    </w:rPr>
  </w:style>
  <w:style w:type="paragraph" w:customStyle="1" w:styleId="Level1">
    <w:name w:val="Level1"/>
    <w:basedOn w:val="Normal"/>
    <w:rsid w:val="00E50824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20"/>
      <w:lang w:val="en-GB"/>
    </w:rPr>
  </w:style>
  <w:style w:type="paragraph" w:customStyle="1" w:styleId="Body">
    <w:name w:val="Body"/>
    <w:rsid w:val="00E508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st">
    <w:name w:val="st"/>
    <w:rsid w:val="00E50824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0824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rsid w:val="00E50824"/>
    <w:rPr>
      <w:b/>
      <w:sz w:val="40"/>
    </w:rPr>
  </w:style>
  <w:style w:type="paragraph" w:customStyle="1" w:styleId="textstory">
    <w:name w:val="textstory"/>
    <w:basedOn w:val="Normal"/>
    <w:rsid w:val="00E5082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50824"/>
    <w:pPr>
      <w:ind w:right="567"/>
      <w:jc w:val="center"/>
      <w:outlineLvl w:val="0"/>
    </w:pPr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50824"/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NormalNonumberChar">
    <w:name w:val="Normal_No_number Char"/>
    <w:link w:val="NormalNonumber"/>
    <w:rsid w:val="00E50824"/>
    <w:rPr>
      <w:lang w:val="en-GB"/>
    </w:rPr>
  </w:style>
  <w:style w:type="paragraph" w:customStyle="1" w:styleId="Default">
    <w:name w:val="Default"/>
    <w:rsid w:val="00E5082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umberChar">
    <w:name w:val="Normal_number Char"/>
    <w:link w:val="Normalnumber"/>
    <w:rsid w:val="00E50824"/>
    <w:rPr>
      <w:lang w:val="en-GB"/>
    </w:rPr>
  </w:style>
  <w:style w:type="paragraph" w:styleId="Subtitle">
    <w:name w:val="Subtitle"/>
    <w:basedOn w:val="Normal"/>
    <w:next w:val="Normal"/>
    <w:link w:val="SubtitleChar"/>
    <w:qFormat/>
    <w:rsid w:val="00E50824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E5082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link w:val="Footer"/>
    <w:uiPriority w:val="99"/>
    <w:rsid w:val="00E50824"/>
    <w:rPr>
      <w:sz w:val="22"/>
      <w:lang w:val="ru-RU"/>
    </w:rPr>
  </w:style>
  <w:style w:type="character" w:styleId="FollowedHyperlink">
    <w:name w:val="FollowedHyperlink"/>
    <w:rsid w:val="00E50824"/>
    <w:rPr>
      <w:color w:val="800080"/>
      <w:u w:val="single"/>
    </w:rPr>
  </w:style>
  <w:style w:type="paragraph" w:customStyle="1" w:styleId="H1">
    <w:name w:val="_ H_1"/>
    <w:basedOn w:val="Normal"/>
    <w:next w:val="SingleTxt"/>
    <w:rsid w:val="00E5082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 w:val="24"/>
      <w:lang w:val="en-GB"/>
    </w:rPr>
  </w:style>
  <w:style w:type="paragraph" w:customStyle="1" w:styleId="SingleTxt">
    <w:name w:val="__Single Txt"/>
    <w:basedOn w:val="Normal"/>
    <w:rsid w:val="00E508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 w:val="20"/>
      <w:lang w:val="en-GB"/>
    </w:rPr>
  </w:style>
  <w:style w:type="table" w:customStyle="1" w:styleId="AATable">
    <w:name w:val="AA_Table"/>
    <w:basedOn w:val="TableNormal"/>
    <w:semiHidden/>
    <w:rsid w:val="00E50824"/>
    <w:rPr>
      <w:rFonts w:eastAsia="SimSun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E5082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E50824"/>
    <w:pPr>
      <w:tabs>
        <w:tab w:val="clear" w:pos="4082"/>
      </w:tabs>
      <w:spacing w:before="120" w:after="120"/>
      <w:ind w:right="4536"/>
    </w:pPr>
  </w:style>
  <w:style w:type="character" w:styleId="Hyperlink">
    <w:name w:val="Hyperlink"/>
    <w:uiPriority w:val="99"/>
    <w:rsid w:val="00E50824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E50824"/>
    <w:pPr>
      <w:numPr>
        <w:numId w:val="5"/>
      </w:numPr>
    </w:pPr>
  </w:style>
  <w:style w:type="paragraph" w:customStyle="1" w:styleId="NormalNonumber">
    <w:name w:val="Normal_No_number"/>
    <w:basedOn w:val="Normalpool"/>
    <w:link w:val="NormalNonumberChar"/>
    <w:rsid w:val="00E50824"/>
    <w:pPr>
      <w:spacing w:after="120"/>
      <w:ind w:left="1247"/>
    </w:pPr>
    <w:rPr>
      <w:rFonts w:eastAsia="Times New Roman"/>
      <w:lang w:val="en-GB"/>
    </w:rPr>
  </w:style>
  <w:style w:type="paragraph" w:customStyle="1" w:styleId="Titletable">
    <w:name w:val="Title_table"/>
    <w:basedOn w:val="Normalpool"/>
    <w:rsid w:val="00E5082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E50824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E50824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E50824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E50824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E50824"/>
    <w:pPr>
      <w:tabs>
        <w:tab w:val="left" w:pos="1247"/>
      </w:tabs>
      <w:ind w:left="800"/>
    </w:pPr>
    <w:rPr>
      <w:rFonts w:eastAsia="MS Mincho"/>
      <w:color w:val="000000"/>
      <w:sz w:val="18"/>
      <w:szCs w:val="18"/>
      <w:lang w:val="en-US"/>
    </w:rPr>
  </w:style>
  <w:style w:type="paragraph" w:customStyle="1" w:styleId="ZZAnxheader">
    <w:name w:val="ZZ_Anx_header"/>
    <w:basedOn w:val="Normalpool"/>
    <w:rsid w:val="00E5082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E5082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ru-R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  <w:ind w:left="1247" w:hanging="680"/>
      <w:outlineLvl w:val="3"/>
    </w:pPr>
    <w:rPr>
      <w:rFonts w:eastAsia="MS Mincho"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50824"/>
    <w:pPr>
      <w:keepNext/>
      <w:tabs>
        <w:tab w:val="left" w:pos="1247"/>
        <w:tab w:val="left" w:pos="1814"/>
        <w:tab w:val="left" w:pos="2381"/>
        <w:tab w:val="left" w:pos="2948"/>
        <w:tab w:val="left" w:pos="3515"/>
      </w:tabs>
      <w:outlineLvl w:val="4"/>
    </w:pPr>
    <w:rPr>
      <w:rFonts w:ascii="Univers" w:eastAsia="MS Mincho" w:hAnsi="Univers"/>
      <w:b/>
      <w:color w:val="000000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50824"/>
    <w:pPr>
      <w:keepNext/>
      <w:tabs>
        <w:tab w:val="left" w:pos="1247"/>
        <w:tab w:val="left" w:pos="1814"/>
        <w:tab w:val="left" w:pos="2381"/>
        <w:tab w:val="left" w:pos="2948"/>
        <w:tab w:val="left" w:pos="3515"/>
      </w:tabs>
      <w:ind w:left="578"/>
      <w:outlineLvl w:val="5"/>
    </w:pPr>
    <w:rPr>
      <w:rFonts w:eastAsia="MS Mincho"/>
      <w:b/>
      <w:bCs/>
      <w:color w:val="000000"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E50824"/>
    <w:pPr>
      <w:keepNext/>
      <w:widowControl w:val="0"/>
      <w:tabs>
        <w:tab w:val="left" w:pos="1247"/>
        <w:tab w:val="left" w:pos="1814"/>
        <w:tab w:val="left" w:pos="2381"/>
        <w:tab w:val="left" w:pos="2948"/>
        <w:tab w:val="left" w:pos="3515"/>
      </w:tabs>
      <w:jc w:val="center"/>
      <w:outlineLvl w:val="6"/>
    </w:pPr>
    <w:rPr>
      <w:rFonts w:eastAsia="MS Mincho"/>
      <w:snapToGrid w:val="0"/>
      <w:color w:val="000000"/>
      <w:sz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E50824"/>
    <w:pPr>
      <w:keepNext/>
      <w:widowControl w:val="0"/>
      <w:numPr>
        <w:numId w:val="3"/>
      </w:numPr>
      <w:tabs>
        <w:tab w:val="left" w:pos="-1440"/>
        <w:tab w:val="left" w:pos="-720"/>
        <w:tab w:val="left" w:pos="1247"/>
        <w:tab w:val="left" w:pos="1814"/>
        <w:tab w:val="left" w:pos="2381"/>
        <w:tab w:val="left" w:pos="2948"/>
        <w:tab w:val="left" w:pos="3515"/>
      </w:tabs>
      <w:suppressAutoHyphens/>
      <w:jc w:val="center"/>
      <w:outlineLvl w:val="7"/>
    </w:pPr>
    <w:rPr>
      <w:rFonts w:eastAsia="MS Mincho"/>
      <w:snapToGrid w:val="0"/>
      <w:color w:val="000000"/>
      <w:sz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E50824"/>
    <w:pPr>
      <w:keepNext/>
      <w:widowControl w:val="0"/>
      <w:numPr>
        <w:numId w:val="4"/>
      </w:num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jc w:val="center"/>
      <w:outlineLvl w:val="8"/>
    </w:pPr>
    <w:rPr>
      <w:rFonts w:eastAsia="MS Mincho"/>
      <w:snapToGrid w:val="0"/>
      <w:color w:val="000000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-E Fußnotentext,Fußnote,Fußnotentext Ursprung,footnote text,Geneva 9,Font: Geneva 9,Boston 10,f,ft,fn,Footnotes,Footnote ak,fn cafc,Footnotes Char Char,Footnote Text Char Char,fn Char Char,footnote text Char Char Char Ch,single space"/>
    <w:basedOn w:val="Normal"/>
    <w:link w:val="FootnoteTextChar"/>
    <w:uiPriority w:val="99"/>
    <w:rPr>
      <w:sz w:val="20"/>
    </w:rPr>
  </w:style>
  <w:style w:type="character" w:styleId="FootnoteReference">
    <w:name w:val="footnote reference"/>
    <w:aliases w:val="16 Point,Superscript 6 Point,(Ref. de nota al pie),Footnote Reference1,ftref"/>
    <w:uiPriority w:val="99"/>
    <w:qFormat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BTitle">
    <w:name w:val="BB_Title"/>
    <w:basedOn w:val="Normal"/>
    <w:rsid w:val="00EB6729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umber">
    <w:name w:val="Normal_number"/>
    <w:basedOn w:val="Normal"/>
    <w:link w:val="NormalnumberChar"/>
    <w:rsid w:val="00EB672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4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1CC7"/>
    <w:rPr>
      <w:rFonts w:ascii="Tahoma" w:hAnsi="Tahoma" w:cs="Tahoma"/>
      <w:sz w:val="16"/>
      <w:szCs w:val="16"/>
      <w:lang w:val="ru-RU"/>
    </w:rPr>
  </w:style>
  <w:style w:type="paragraph" w:customStyle="1" w:styleId="Titlefigure">
    <w:name w:val="Title_figure"/>
    <w:basedOn w:val="Normal"/>
    <w:next w:val="Normal"/>
    <w:rsid w:val="0040094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b/>
      <w:sz w:val="20"/>
      <w:lang w:val="en-GB"/>
    </w:rPr>
  </w:style>
  <w:style w:type="paragraph" w:styleId="ListParagraph">
    <w:name w:val="List Paragraph"/>
    <w:basedOn w:val="Normal"/>
    <w:uiPriority w:val="34"/>
    <w:qFormat/>
    <w:rsid w:val="00236A42"/>
    <w:pPr>
      <w:ind w:left="720"/>
      <w:contextualSpacing/>
    </w:pPr>
  </w:style>
  <w:style w:type="character" w:customStyle="1" w:styleId="FootnoteTextChar">
    <w:name w:val="Footnote Text Char"/>
    <w:aliases w:val="-E Fußnotentext Char,Fußnote Char,Fußnotentext Ursprung Char,footnote text Char,Geneva 9 Char,Font: Geneva 9 Char,Boston 10 Char,f Char,ft Char,fn Char,Footnotes Char,Footnote ak Char,fn cafc Char,Footnotes Char Char Char"/>
    <w:link w:val="FootnoteText"/>
    <w:uiPriority w:val="99"/>
    <w:rsid w:val="001C0D62"/>
    <w:rPr>
      <w:lang w:val="ru-RU"/>
    </w:rPr>
  </w:style>
  <w:style w:type="character" w:customStyle="1" w:styleId="Heading4Char">
    <w:name w:val="Heading 4 Char"/>
    <w:basedOn w:val="DefaultParagraphFont"/>
    <w:link w:val="Heading4"/>
    <w:rsid w:val="00E50824"/>
    <w:rPr>
      <w:rFonts w:eastAsia="MS Mincho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E50824"/>
    <w:rPr>
      <w:rFonts w:ascii="Univers" w:eastAsia="MS Mincho" w:hAnsi="Univers"/>
      <w:b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E50824"/>
    <w:rPr>
      <w:rFonts w:eastAsia="MS Mincho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E50824"/>
    <w:rPr>
      <w:rFonts w:eastAsia="MS Mincho"/>
      <w:snapToGrid w:val="0"/>
      <w:color w:val="000000"/>
      <w:u w:val="single"/>
    </w:rPr>
  </w:style>
  <w:style w:type="character" w:customStyle="1" w:styleId="Heading8Char">
    <w:name w:val="Heading 8 Char"/>
    <w:basedOn w:val="DefaultParagraphFont"/>
    <w:link w:val="Heading8"/>
    <w:rsid w:val="00E50824"/>
    <w:rPr>
      <w:rFonts w:eastAsia="MS Mincho"/>
      <w:snapToGrid w:val="0"/>
      <w:color w:val="000000"/>
      <w:u w:val="single"/>
    </w:rPr>
  </w:style>
  <w:style w:type="character" w:customStyle="1" w:styleId="Heading9Char">
    <w:name w:val="Heading 9 Char"/>
    <w:basedOn w:val="DefaultParagraphFont"/>
    <w:link w:val="Heading9"/>
    <w:rsid w:val="00E50824"/>
    <w:rPr>
      <w:rFonts w:eastAsia="MS Mincho"/>
      <w:snapToGrid w:val="0"/>
      <w:color w:val="000000"/>
      <w:u w:val="single"/>
    </w:rPr>
  </w:style>
  <w:style w:type="table" w:customStyle="1" w:styleId="Tabledocright">
    <w:name w:val="Table_doc_right"/>
    <w:basedOn w:val="TableNormal"/>
    <w:rsid w:val="00E50824"/>
    <w:pPr>
      <w:spacing w:before="40" w:after="40"/>
    </w:pPr>
    <w:rPr>
      <w:rFonts w:eastAsia="SimSun"/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rsid w:val="00E50824"/>
    <w:pPr>
      <w:tabs>
        <w:tab w:val="left" w:pos="1247"/>
      </w:tabs>
      <w:ind w:left="1000"/>
    </w:pPr>
    <w:rPr>
      <w:rFonts w:eastAsia="MS Mincho"/>
      <w:color w:val="000000"/>
      <w:sz w:val="18"/>
      <w:szCs w:val="18"/>
      <w:lang w:val="en-US"/>
    </w:rPr>
  </w:style>
  <w:style w:type="paragraph" w:styleId="TOC7">
    <w:name w:val="toc 7"/>
    <w:basedOn w:val="Normal"/>
    <w:next w:val="Normal"/>
    <w:autoRedefine/>
    <w:rsid w:val="00E50824"/>
    <w:pPr>
      <w:tabs>
        <w:tab w:val="left" w:pos="1247"/>
      </w:tabs>
      <w:ind w:left="1200"/>
    </w:pPr>
    <w:rPr>
      <w:rFonts w:eastAsia="MS Mincho"/>
      <w:color w:val="000000"/>
      <w:sz w:val="18"/>
      <w:szCs w:val="18"/>
      <w:lang w:val="en-US"/>
    </w:rPr>
  </w:style>
  <w:style w:type="paragraph" w:styleId="TOC8">
    <w:name w:val="toc 8"/>
    <w:basedOn w:val="Normal"/>
    <w:next w:val="Normal"/>
    <w:autoRedefine/>
    <w:rsid w:val="00E50824"/>
    <w:pPr>
      <w:tabs>
        <w:tab w:val="left" w:pos="1247"/>
      </w:tabs>
      <w:ind w:left="1400"/>
    </w:pPr>
    <w:rPr>
      <w:rFonts w:eastAsia="MS Mincho"/>
      <w:color w:val="000000"/>
      <w:sz w:val="18"/>
      <w:szCs w:val="18"/>
      <w:lang w:val="en-US"/>
    </w:rPr>
  </w:style>
  <w:style w:type="paragraph" w:styleId="TOC9">
    <w:name w:val="toc 9"/>
    <w:basedOn w:val="Normal"/>
    <w:next w:val="Normal"/>
    <w:autoRedefine/>
    <w:rsid w:val="00E50824"/>
    <w:pPr>
      <w:tabs>
        <w:tab w:val="left" w:pos="1247"/>
      </w:tabs>
      <w:ind w:left="1600"/>
    </w:pPr>
    <w:rPr>
      <w:rFonts w:eastAsia="MS Mincho"/>
      <w:color w:val="000000"/>
      <w:sz w:val="18"/>
      <w:szCs w:val="18"/>
      <w:lang w:val="en-US"/>
    </w:rPr>
  </w:style>
  <w:style w:type="paragraph" w:styleId="TableofFigures">
    <w:name w:val="table of figures"/>
    <w:basedOn w:val="Normal"/>
    <w:next w:val="Normal"/>
    <w:autoRedefine/>
    <w:rsid w:val="00E50824"/>
    <w:pPr>
      <w:tabs>
        <w:tab w:val="left" w:pos="1247"/>
      </w:tabs>
      <w:ind w:left="1814" w:hanging="567"/>
    </w:pPr>
    <w:rPr>
      <w:rFonts w:eastAsia="MS Mincho"/>
      <w:color w:val="000000"/>
      <w:sz w:val="20"/>
      <w:lang w:val="en-US"/>
    </w:rPr>
  </w:style>
  <w:style w:type="paragraph" w:customStyle="1" w:styleId="CH1">
    <w:name w:val="CH1"/>
    <w:basedOn w:val="Normalpool"/>
    <w:next w:val="CH2"/>
    <w:rsid w:val="00E5082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E5082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E5082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E5082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E50824"/>
    <w:rPr>
      <w:rFonts w:ascii="Arial" w:eastAsia="SimSun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E5082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eastAsia="MS Mincho"/>
      <w:b/>
      <w:color w:val="000000"/>
      <w:sz w:val="18"/>
      <w:lang w:val="en-US"/>
    </w:rPr>
  </w:style>
  <w:style w:type="paragraph" w:customStyle="1" w:styleId="Headerpool">
    <w:name w:val="Header_pool"/>
    <w:basedOn w:val="Normal"/>
    <w:next w:val="Normal"/>
    <w:semiHidden/>
    <w:rsid w:val="00E50824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eastAsia="MS Mincho"/>
      <w:b/>
      <w:color w:val="000000"/>
      <w:sz w:val="18"/>
      <w:lang w:val="en-US"/>
    </w:rPr>
  </w:style>
  <w:style w:type="paragraph" w:customStyle="1" w:styleId="Normalpool">
    <w:name w:val="Normal_pool"/>
    <w:semiHidden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SimSun"/>
      <w:lang w:val="fr-FR"/>
    </w:rPr>
  </w:style>
  <w:style w:type="paragraph" w:customStyle="1" w:styleId="Footer-pool">
    <w:name w:val="Footer-pool"/>
    <w:basedOn w:val="Normal-pool"/>
    <w:next w:val="Normal-pool"/>
    <w:rsid w:val="00E5082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E5082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SimSun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E5082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Normal-poolChar">
    <w:name w:val="Normal-pool Char"/>
    <w:link w:val="Normal-pool"/>
    <w:locked/>
    <w:rsid w:val="00E50824"/>
    <w:rPr>
      <w:rFonts w:eastAsia="SimSun"/>
      <w:lang w:val="en-GB"/>
    </w:rPr>
  </w:style>
  <w:style w:type="character" w:styleId="CommentReference">
    <w:name w:val="annotation reference"/>
    <w:uiPriority w:val="99"/>
    <w:rsid w:val="00E50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50824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MS Mincho"/>
      <w:color w:val="000000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824"/>
    <w:rPr>
      <w:rFonts w:eastAsia="MS Mincho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08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0824"/>
    <w:rPr>
      <w:rFonts w:eastAsia="MS Mincho"/>
      <w:b/>
      <w:bCs/>
      <w:color w:val="000000"/>
      <w:sz w:val="24"/>
      <w:szCs w:val="24"/>
    </w:rPr>
  </w:style>
  <w:style w:type="paragraph" w:customStyle="1" w:styleId="MediumList2-Accent21">
    <w:name w:val="Medium List 2 - Accent 21"/>
    <w:hidden/>
    <w:uiPriority w:val="71"/>
    <w:rsid w:val="00E50824"/>
    <w:rPr>
      <w:rFonts w:eastAsia="MS Mincho"/>
      <w:color w:val="000000"/>
    </w:rPr>
  </w:style>
  <w:style w:type="character" w:customStyle="1" w:styleId="Heading1Char">
    <w:name w:val="Heading 1 Char"/>
    <w:link w:val="Heading1"/>
    <w:locked/>
    <w:rsid w:val="00E50824"/>
    <w:rPr>
      <w:b/>
      <w:sz w:val="28"/>
      <w:lang w:val="ru-RU"/>
    </w:rPr>
  </w:style>
  <w:style w:type="paragraph" w:customStyle="1" w:styleId="Level1">
    <w:name w:val="Level1"/>
    <w:basedOn w:val="Normal"/>
    <w:rsid w:val="00E50824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20"/>
      <w:lang w:val="en-GB"/>
    </w:rPr>
  </w:style>
  <w:style w:type="paragraph" w:customStyle="1" w:styleId="Body">
    <w:name w:val="Body"/>
    <w:rsid w:val="00E508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st">
    <w:name w:val="st"/>
    <w:rsid w:val="00E50824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0824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rsid w:val="00E50824"/>
    <w:rPr>
      <w:b/>
      <w:sz w:val="40"/>
    </w:rPr>
  </w:style>
  <w:style w:type="paragraph" w:customStyle="1" w:styleId="textstory">
    <w:name w:val="textstory"/>
    <w:basedOn w:val="Normal"/>
    <w:rsid w:val="00E5082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50824"/>
    <w:pPr>
      <w:ind w:right="567"/>
      <w:jc w:val="center"/>
      <w:outlineLvl w:val="0"/>
    </w:pPr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50824"/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NormalNonumberChar">
    <w:name w:val="Normal_No_number Char"/>
    <w:link w:val="NormalNonumber"/>
    <w:rsid w:val="00E50824"/>
    <w:rPr>
      <w:lang w:val="en-GB"/>
    </w:rPr>
  </w:style>
  <w:style w:type="paragraph" w:customStyle="1" w:styleId="Default">
    <w:name w:val="Default"/>
    <w:rsid w:val="00E5082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umberChar">
    <w:name w:val="Normal_number Char"/>
    <w:link w:val="Normalnumber"/>
    <w:rsid w:val="00E50824"/>
    <w:rPr>
      <w:lang w:val="en-GB"/>
    </w:rPr>
  </w:style>
  <w:style w:type="paragraph" w:styleId="Subtitle">
    <w:name w:val="Subtitle"/>
    <w:basedOn w:val="Normal"/>
    <w:next w:val="Normal"/>
    <w:link w:val="SubtitleChar"/>
    <w:qFormat/>
    <w:rsid w:val="00E50824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E5082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link w:val="Footer"/>
    <w:uiPriority w:val="99"/>
    <w:rsid w:val="00E50824"/>
    <w:rPr>
      <w:sz w:val="22"/>
      <w:lang w:val="ru-RU"/>
    </w:rPr>
  </w:style>
  <w:style w:type="character" w:styleId="FollowedHyperlink">
    <w:name w:val="FollowedHyperlink"/>
    <w:rsid w:val="00E50824"/>
    <w:rPr>
      <w:color w:val="800080"/>
      <w:u w:val="single"/>
    </w:rPr>
  </w:style>
  <w:style w:type="paragraph" w:customStyle="1" w:styleId="H1">
    <w:name w:val="_ H_1"/>
    <w:basedOn w:val="Normal"/>
    <w:next w:val="SingleTxt"/>
    <w:rsid w:val="00E5082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 w:val="24"/>
      <w:lang w:val="en-GB"/>
    </w:rPr>
  </w:style>
  <w:style w:type="paragraph" w:customStyle="1" w:styleId="SingleTxt">
    <w:name w:val="__Single Txt"/>
    <w:basedOn w:val="Normal"/>
    <w:rsid w:val="00E508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 w:val="20"/>
      <w:lang w:val="en-GB"/>
    </w:rPr>
  </w:style>
  <w:style w:type="table" w:customStyle="1" w:styleId="AATable">
    <w:name w:val="AA_Table"/>
    <w:basedOn w:val="TableNormal"/>
    <w:semiHidden/>
    <w:rsid w:val="00E50824"/>
    <w:rPr>
      <w:rFonts w:eastAsia="SimSun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E5082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E50824"/>
    <w:pPr>
      <w:tabs>
        <w:tab w:val="clear" w:pos="4082"/>
      </w:tabs>
      <w:spacing w:before="120" w:after="120"/>
      <w:ind w:right="4536"/>
    </w:pPr>
  </w:style>
  <w:style w:type="character" w:styleId="Hyperlink">
    <w:name w:val="Hyperlink"/>
    <w:uiPriority w:val="99"/>
    <w:rsid w:val="00E50824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E50824"/>
    <w:pPr>
      <w:numPr>
        <w:numId w:val="5"/>
      </w:numPr>
    </w:pPr>
  </w:style>
  <w:style w:type="paragraph" w:customStyle="1" w:styleId="NormalNonumber">
    <w:name w:val="Normal_No_number"/>
    <w:basedOn w:val="Normalpool"/>
    <w:link w:val="NormalNonumberChar"/>
    <w:rsid w:val="00E50824"/>
    <w:pPr>
      <w:spacing w:after="120"/>
      <w:ind w:left="1247"/>
    </w:pPr>
    <w:rPr>
      <w:rFonts w:eastAsia="Times New Roman"/>
      <w:lang w:val="en-GB"/>
    </w:rPr>
  </w:style>
  <w:style w:type="paragraph" w:customStyle="1" w:styleId="Titletable">
    <w:name w:val="Title_table"/>
    <w:basedOn w:val="Normalpool"/>
    <w:rsid w:val="00E5082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E50824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E50824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E50824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E50824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E50824"/>
    <w:pPr>
      <w:tabs>
        <w:tab w:val="left" w:pos="1247"/>
      </w:tabs>
      <w:ind w:left="800"/>
    </w:pPr>
    <w:rPr>
      <w:rFonts w:eastAsia="MS Mincho"/>
      <w:color w:val="000000"/>
      <w:sz w:val="18"/>
      <w:szCs w:val="18"/>
      <w:lang w:val="en-US"/>
    </w:rPr>
  </w:style>
  <w:style w:type="paragraph" w:customStyle="1" w:styleId="ZZAnxheader">
    <w:name w:val="ZZ_Anx_header"/>
    <w:basedOn w:val="Normalpool"/>
    <w:rsid w:val="00E5082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E5082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4;&#1073;&#1099;&#1095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2190-B5CF-4FB6-8DAB-3C3B9F1D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1</TotalTime>
  <Pages>11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UNEP/EA.2/9</vt:lpstr>
    </vt:vector>
  </TitlesOfParts>
  <Manager>UNEP</Manager>
  <Company>UNON</Company>
  <LinksUpToDate>false</LinksUpToDate>
  <CharactersWithSpaces>45687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UNEP/EA.2/9</dc:title>
  <dc:subject>Report of the ED on different visions, approaches, modelsand</dc:subject>
  <dc:creator>RLU</dc:creator>
  <cp:lastModifiedBy>John Njuguna</cp:lastModifiedBy>
  <cp:revision>2</cp:revision>
  <cp:lastPrinted>2016-03-10T09:46:00Z</cp:lastPrinted>
  <dcterms:created xsi:type="dcterms:W3CDTF">2016-04-28T13:29:00Z</dcterms:created>
  <dcterms:modified xsi:type="dcterms:W3CDTF">2016-04-28T13:29:00Z</dcterms:modified>
</cp:coreProperties>
</file>