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5347"/>
        <w:gridCol w:w="2815"/>
      </w:tblGrid>
      <w:tr w:rsidR="00167391" w:rsidRPr="00DE7940" w:rsidTr="00524CE1">
        <w:trPr>
          <w:cantSplit/>
          <w:trHeight w:val="850"/>
          <w:jc w:val="right"/>
        </w:trPr>
        <w:tc>
          <w:tcPr>
            <w:tcW w:w="1550" w:type="dxa"/>
          </w:tcPr>
          <w:p w:rsidR="00167391" w:rsidRPr="00DE7940" w:rsidRDefault="0089412A" w:rsidP="0089412A">
            <w:pPr>
              <w:rPr>
                <w:rFonts w:ascii="Univers" w:hAnsi="Univers"/>
                <w:b/>
                <w:sz w:val="27"/>
                <w:szCs w:val="27"/>
                <w:lang w:val="fr-CA"/>
              </w:rPr>
            </w:pPr>
            <w:bookmarkStart w:id="0" w:name="_GoBack"/>
            <w:bookmarkEnd w:id="0"/>
            <w:r w:rsidRPr="00DE7940">
              <w:rPr>
                <w:rFonts w:ascii="Arial" w:hAnsi="Arial" w:cs="Arial"/>
                <w:b/>
                <w:sz w:val="27"/>
                <w:szCs w:val="27"/>
                <w:lang w:val="fr-CA"/>
              </w:rPr>
              <w:t xml:space="preserve">NATIONS </w:t>
            </w:r>
            <w:r w:rsidR="00167391" w:rsidRPr="00DE7940">
              <w:rPr>
                <w:rFonts w:ascii="Arial" w:hAnsi="Arial" w:cs="Arial"/>
                <w:b/>
                <w:sz w:val="27"/>
                <w:szCs w:val="27"/>
                <w:lang w:val="fr-CA"/>
              </w:rPr>
              <w:t>UNIE</w:t>
            </w:r>
            <w:r w:rsidRPr="00DE7940">
              <w:rPr>
                <w:rFonts w:ascii="Arial" w:hAnsi="Arial" w:cs="Arial"/>
                <w:b/>
                <w:sz w:val="27"/>
                <w:szCs w:val="27"/>
                <w:lang w:val="fr-CA"/>
              </w:rPr>
              <w:t>S</w:t>
            </w:r>
            <w:r w:rsidR="00167391" w:rsidRPr="00DE7940">
              <w:rPr>
                <w:rFonts w:ascii="Arial" w:hAnsi="Arial" w:cs="Arial"/>
                <w:b/>
                <w:sz w:val="27"/>
                <w:szCs w:val="27"/>
                <w:lang w:val="fr-CA"/>
              </w:rPr>
              <w:br/>
            </w:r>
          </w:p>
        </w:tc>
        <w:tc>
          <w:tcPr>
            <w:tcW w:w="5347" w:type="dxa"/>
          </w:tcPr>
          <w:p w:rsidR="00167391" w:rsidRPr="00DE7940" w:rsidRDefault="00167391" w:rsidP="005F0C62">
            <w:pPr>
              <w:rPr>
                <w:rFonts w:ascii="Univers" w:hAnsi="Univers"/>
                <w:b/>
                <w:sz w:val="27"/>
                <w:szCs w:val="27"/>
                <w:lang w:val="fr-CA"/>
              </w:rPr>
            </w:pPr>
          </w:p>
        </w:tc>
        <w:tc>
          <w:tcPr>
            <w:tcW w:w="2815" w:type="dxa"/>
          </w:tcPr>
          <w:p w:rsidR="00167391" w:rsidRPr="00DE7940" w:rsidRDefault="00167391" w:rsidP="005F0C62">
            <w:pPr>
              <w:jc w:val="right"/>
              <w:rPr>
                <w:rFonts w:ascii="Arial" w:hAnsi="Arial" w:cs="Arial"/>
                <w:b/>
                <w:sz w:val="64"/>
                <w:szCs w:val="64"/>
                <w:lang w:val="fr-CA"/>
              </w:rPr>
            </w:pPr>
            <w:r w:rsidRPr="00DE7940">
              <w:rPr>
                <w:rFonts w:ascii="Arial" w:hAnsi="Arial" w:cs="Arial"/>
                <w:b/>
                <w:sz w:val="64"/>
                <w:szCs w:val="64"/>
                <w:lang w:val="fr-CA"/>
              </w:rPr>
              <w:t>EP</w:t>
            </w:r>
          </w:p>
        </w:tc>
      </w:tr>
      <w:tr w:rsidR="00167391" w:rsidRPr="00DE7940" w:rsidTr="00524CE1">
        <w:trPr>
          <w:cantSplit/>
          <w:trHeight w:val="281"/>
          <w:jc w:val="right"/>
        </w:trPr>
        <w:tc>
          <w:tcPr>
            <w:tcW w:w="1550" w:type="dxa"/>
            <w:tcBorders>
              <w:bottom w:val="single" w:sz="4" w:space="0" w:color="auto"/>
            </w:tcBorders>
          </w:tcPr>
          <w:p w:rsidR="00167391" w:rsidRPr="00DE7940" w:rsidRDefault="00167391" w:rsidP="005F0C62">
            <w:pPr>
              <w:rPr>
                <w:sz w:val="18"/>
                <w:szCs w:val="18"/>
                <w:lang w:val="fr-CA"/>
              </w:rPr>
            </w:pPr>
          </w:p>
        </w:tc>
        <w:tc>
          <w:tcPr>
            <w:tcW w:w="5347" w:type="dxa"/>
            <w:tcBorders>
              <w:bottom w:val="single" w:sz="4" w:space="0" w:color="auto"/>
            </w:tcBorders>
          </w:tcPr>
          <w:p w:rsidR="00167391" w:rsidRPr="00DE7940" w:rsidRDefault="00167391" w:rsidP="005F0C62">
            <w:pPr>
              <w:rPr>
                <w:rFonts w:ascii="Univers" w:hAnsi="Univers"/>
                <w:b/>
                <w:sz w:val="18"/>
                <w:szCs w:val="18"/>
                <w:lang w:val="fr-CA"/>
              </w:rPr>
            </w:pPr>
          </w:p>
        </w:tc>
        <w:tc>
          <w:tcPr>
            <w:tcW w:w="2815" w:type="dxa"/>
            <w:tcBorders>
              <w:bottom w:val="single" w:sz="4" w:space="0" w:color="auto"/>
            </w:tcBorders>
          </w:tcPr>
          <w:p w:rsidR="00167391" w:rsidRPr="00DE7940" w:rsidRDefault="00167391" w:rsidP="00A134E7">
            <w:pPr>
              <w:rPr>
                <w:sz w:val="18"/>
                <w:szCs w:val="18"/>
                <w:lang w:val="fr-CA"/>
              </w:rPr>
            </w:pPr>
            <w:r w:rsidRPr="00DE7940">
              <w:rPr>
                <w:b/>
                <w:bCs/>
                <w:sz w:val="28"/>
                <w:lang w:val="fr-CA"/>
              </w:rPr>
              <w:t>UNEP</w:t>
            </w:r>
            <w:r w:rsidRPr="00DE7940">
              <w:rPr>
                <w:lang w:val="fr-CA"/>
              </w:rPr>
              <w:t>/</w:t>
            </w:r>
            <w:r w:rsidR="00C915ED" w:rsidRPr="00DE7940">
              <w:rPr>
                <w:lang w:val="fr-CA"/>
              </w:rPr>
              <w:t>EA.2/</w:t>
            </w:r>
            <w:r w:rsidR="00A134E7" w:rsidRPr="00DE7940">
              <w:rPr>
                <w:lang w:val="fr-CA"/>
              </w:rPr>
              <w:t>4</w:t>
            </w:r>
          </w:p>
        </w:tc>
      </w:tr>
      <w:bookmarkStart w:id="1" w:name="_MON_1021710482"/>
      <w:bookmarkEnd w:id="1"/>
      <w:bookmarkStart w:id="2" w:name="_MON_1021710510"/>
      <w:bookmarkEnd w:id="2"/>
      <w:tr w:rsidR="00167391" w:rsidRPr="00DE7940" w:rsidTr="00524CE1">
        <w:trPr>
          <w:cantSplit/>
          <w:trHeight w:val="2549"/>
          <w:jc w:val="right"/>
        </w:trPr>
        <w:tc>
          <w:tcPr>
            <w:tcW w:w="1550" w:type="dxa"/>
            <w:tcBorders>
              <w:top w:val="single" w:sz="4" w:space="0" w:color="auto"/>
              <w:bottom w:val="single" w:sz="24" w:space="0" w:color="auto"/>
            </w:tcBorders>
          </w:tcPr>
          <w:p w:rsidR="00167391" w:rsidRPr="00DE7940" w:rsidRDefault="00167391" w:rsidP="005F0C62">
            <w:pPr>
              <w:rPr>
                <w:lang w:val="fr-CA"/>
              </w:rPr>
            </w:pPr>
            <w:r w:rsidRPr="00DE7940">
              <w:rPr>
                <w:lang w:val="fr-CA"/>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8pt" o:ole="" fillcolor="window">
                  <v:imagedata r:id="rId9" o:title=""/>
                </v:shape>
                <o:OLEObject Type="Embed" ProgID="Word.Picture.8" ShapeID="_x0000_i1025" DrawAspect="Content" ObjectID="_1523365008" r:id="rId10"/>
              </w:object>
            </w:r>
            <w:r w:rsidR="005650F4" w:rsidRPr="00DE7940">
              <w:rPr>
                <w:noProof/>
                <w:lang w:val="en-US"/>
              </w:rPr>
              <w:drawing>
                <wp:inline distT="0" distB="0" distL="0" distR="0" wp14:anchorId="438BD394" wp14:editId="6640B101">
                  <wp:extent cx="724535" cy="76581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76581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167391" w:rsidRPr="00DE7940" w:rsidRDefault="0089412A" w:rsidP="00E32EC0">
            <w:pPr>
              <w:spacing w:before="1400" w:after="120"/>
              <w:rPr>
                <w:rFonts w:ascii="Univers" w:hAnsi="Univers"/>
                <w:b/>
                <w:sz w:val="28"/>
                <w:szCs w:val="28"/>
                <w:lang w:val="fr-CA"/>
              </w:rPr>
            </w:pPr>
            <w:r w:rsidRPr="00DE7940">
              <w:rPr>
                <w:rFonts w:ascii="Arial" w:hAnsi="Arial" w:cs="Arial"/>
                <w:b/>
                <w:sz w:val="28"/>
                <w:szCs w:val="28"/>
                <w:lang w:val="fr-CA"/>
              </w:rPr>
              <w:t>Assemblée des Nations Unies pour l</w:t>
            </w:r>
            <w:r w:rsidR="000D794D" w:rsidRPr="00DE7940">
              <w:rPr>
                <w:rFonts w:ascii="Arial" w:hAnsi="Arial" w:cs="Arial"/>
                <w:b/>
                <w:sz w:val="28"/>
                <w:szCs w:val="28"/>
                <w:lang w:val="fr-CA"/>
              </w:rPr>
              <w:t>’</w:t>
            </w:r>
            <w:r w:rsidRPr="00DE7940">
              <w:rPr>
                <w:rFonts w:ascii="Arial" w:hAnsi="Arial" w:cs="Arial"/>
                <w:b/>
                <w:sz w:val="28"/>
                <w:szCs w:val="28"/>
                <w:lang w:val="fr-CA"/>
              </w:rPr>
              <w:t>environnement du Programme des Nations Unies pour l</w:t>
            </w:r>
            <w:r w:rsidR="000D794D" w:rsidRPr="00DE7940">
              <w:rPr>
                <w:rFonts w:ascii="Arial" w:hAnsi="Arial" w:cs="Arial"/>
                <w:b/>
                <w:sz w:val="28"/>
                <w:szCs w:val="28"/>
                <w:lang w:val="fr-CA"/>
              </w:rPr>
              <w:t>’</w:t>
            </w:r>
            <w:r w:rsidRPr="00DE7940">
              <w:rPr>
                <w:rFonts w:ascii="Arial" w:hAnsi="Arial" w:cs="Arial"/>
                <w:b/>
                <w:sz w:val="28"/>
                <w:szCs w:val="28"/>
                <w:lang w:val="fr-CA"/>
              </w:rPr>
              <w:t>environnement</w:t>
            </w:r>
          </w:p>
        </w:tc>
        <w:tc>
          <w:tcPr>
            <w:tcW w:w="2815" w:type="dxa"/>
            <w:tcBorders>
              <w:top w:val="single" w:sz="4" w:space="0" w:color="auto"/>
              <w:bottom w:val="single" w:sz="24" w:space="0" w:color="auto"/>
            </w:tcBorders>
          </w:tcPr>
          <w:p w:rsidR="00167391" w:rsidRPr="00DE7940" w:rsidRDefault="00167391" w:rsidP="005F0C62">
            <w:pPr>
              <w:spacing w:before="120"/>
              <w:rPr>
                <w:lang w:val="fr-CA"/>
              </w:rPr>
            </w:pPr>
            <w:proofErr w:type="spellStart"/>
            <w:r w:rsidRPr="00DE7940">
              <w:rPr>
                <w:lang w:val="fr-CA"/>
              </w:rPr>
              <w:t>Distr</w:t>
            </w:r>
            <w:proofErr w:type="spellEnd"/>
            <w:r w:rsidRPr="00DE7940">
              <w:rPr>
                <w:lang w:val="fr-CA"/>
              </w:rPr>
              <w:t>.</w:t>
            </w:r>
            <w:r w:rsidR="009E4A1B" w:rsidRPr="00DE7940">
              <w:rPr>
                <w:lang w:val="fr-CA"/>
              </w:rPr>
              <w:t xml:space="preserve"> gé</w:t>
            </w:r>
            <w:r w:rsidRPr="00DE7940">
              <w:rPr>
                <w:lang w:val="fr-CA"/>
              </w:rPr>
              <w:t>n</w:t>
            </w:r>
            <w:r w:rsidR="009E4A1B" w:rsidRPr="00DE7940">
              <w:rPr>
                <w:lang w:val="fr-CA"/>
              </w:rPr>
              <w:t>é</w:t>
            </w:r>
            <w:r w:rsidRPr="00DE7940">
              <w:rPr>
                <w:lang w:val="fr-CA"/>
              </w:rPr>
              <w:t>ral</w:t>
            </w:r>
            <w:r w:rsidR="009E4A1B" w:rsidRPr="00DE7940">
              <w:rPr>
                <w:lang w:val="fr-CA"/>
              </w:rPr>
              <w:t>e</w:t>
            </w:r>
            <w:r w:rsidRPr="00DE7940">
              <w:rPr>
                <w:lang w:val="fr-CA"/>
              </w:rPr>
              <w:br/>
            </w:r>
            <w:r w:rsidR="00B7638D" w:rsidRPr="00DE7940">
              <w:rPr>
                <w:lang w:val="fr-CA"/>
              </w:rPr>
              <w:t>29 février 2016</w:t>
            </w:r>
          </w:p>
          <w:p w:rsidR="009E4A1B" w:rsidRPr="00DE7940" w:rsidRDefault="009E4A1B" w:rsidP="005F0C62">
            <w:pPr>
              <w:spacing w:before="120"/>
              <w:rPr>
                <w:lang w:val="fr-CA"/>
              </w:rPr>
            </w:pPr>
          </w:p>
          <w:p w:rsidR="009E4A1B" w:rsidRPr="00DE7940" w:rsidRDefault="009E4A1B" w:rsidP="009E4A1B">
            <w:pPr>
              <w:rPr>
                <w:lang w:val="fr-CA"/>
              </w:rPr>
            </w:pPr>
            <w:r w:rsidRPr="00DE7940">
              <w:rPr>
                <w:lang w:val="fr-CA"/>
              </w:rPr>
              <w:t>Français</w:t>
            </w:r>
          </w:p>
          <w:p w:rsidR="00167391" w:rsidRPr="00DE7940" w:rsidRDefault="00F02D99" w:rsidP="009E4A1B">
            <w:pPr>
              <w:rPr>
                <w:lang w:val="fr-CA"/>
              </w:rPr>
            </w:pPr>
            <w:r w:rsidRPr="00DE7940">
              <w:rPr>
                <w:lang w:val="fr-CA"/>
              </w:rPr>
              <w:t>Original</w:t>
            </w:r>
            <w:r w:rsidR="009E4A1B" w:rsidRPr="00DE7940">
              <w:rPr>
                <w:lang w:val="fr-CA"/>
              </w:rPr>
              <w:t xml:space="preserve"> </w:t>
            </w:r>
            <w:r w:rsidRPr="00DE7940">
              <w:rPr>
                <w:lang w:val="fr-CA"/>
              </w:rPr>
              <w:t xml:space="preserve">: </w:t>
            </w:r>
            <w:r w:rsidR="009E4A1B" w:rsidRPr="00DE7940">
              <w:rPr>
                <w:lang w:val="fr-CA"/>
              </w:rPr>
              <w:t>anglais</w:t>
            </w:r>
          </w:p>
        </w:tc>
      </w:tr>
    </w:tbl>
    <w:p w:rsidR="0089412A" w:rsidRPr="00DE7940" w:rsidRDefault="0089412A" w:rsidP="0089412A">
      <w:pPr>
        <w:pStyle w:val="AATitle"/>
        <w:ind w:right="4676"/>
        <w:rPr>
          <w:lang w:val="fr-CA"/>
        </w:rPr>
      </w:pPr>
      <w:r w:rsidRPr="00DE7940">
        <w:rPr>
          <w:lang w:val="fr-CA"/>
        </w:rPr>
        <w:t>Assemblée des Nations Unies pour l</w:t>
      </w:r>
      <w:r w:rsidR="000D794D" w:rsidRPr="00DE7940">
        <w:rPr>
          <w:lang w:val="fr-CA"/>
        </w:rPr>
        <w:t>’</w:t>
      </w:r>
      <w:r w:rsidRPr="00DE7940">
        <w:rPr>
          <w:lang w:val="fr-CA"/>
        </w:rPr>
        <w:t xml:space="preserve">environnement </w:t>
      </w:r>
      <w:r w:rsidRPr="00DE7940">
        <w:rPr>
          <w:lang w:val="fr-CA"/>
        </w:rPr>
        <w:br/>
        <w:t>du Programme des Nations Unies pour l</w:t>
      </w:r>
      <w:r w:rsidR="000D794D" w:rsidRPr="00DE7940">
        <w:rPr>
          <w:lang w:val="fr-CA"/>
        </w:rPr>
        <w:t>’</w:t>
      </w:r>
      <w:r w:rsidRPr="00DE7940">
        <w:rPr>
          <w:lang w:val="fr-CA"/>
        </w:rPr>
        <w:t>environnement</w:t>
      </w:r>
    </w:p>
    <w:p w:rsidR="0089412A" w:rsidRPr="00DE7940" w:rsidRDefault="0089412A" w:rsidP="0089412A">
      <w:pPr>
        <w:pStyle w:val="AATitle"/>
        <w:rPr>
          <w:lang w:val="fr-CA"/>
        </w:rPr>
      </w:pPr>
      <w:r w:rsidRPr="00DE7940">
        <w:rPr>
          <w:lang w:val="fr-CA"/>
        </w:rPr>
        <w:t>Deuxième session</w:t>
      </w:r>
    </w:p>
    <w:p w:rsidR="0089412A" w:rsidRPr="00DE7940" w:rsidRDefault="0089412A" w:rsidP="0089412A">
      <w:pPr>
        <w:pStyle w:val="AATitle"/>
        <w:rPr>
          <w:b w:val="0"/>
          <w:lang w:val="fr-CA"/>
        </w:rPr>
      </w:pPr>
      <w:r w:rsidRPr="00DE7940">
        <w:rPr>
          <w:b w:val="0"/>
          <w:lang w:val="fr-CA"/>
        </w:rPr>
        <w:t>Nairobi, 23-27 mai 2016</w:t>
      </w:r>
    </w:p>
    <w:p w:rsidR="00524CE1" w:rsidRPr="00DE7940" w:rsidRDefault="00B7638D" w:rsidP="00524CE1">
      <w:pPr>
        <w:pStyle w:val="AATitle"/>
        <w:rPr>
          <w:b w:val="0"/>
          <w:lang w:val="fr-CA"/>
        </w:rPr>
      </w:pPr>
      <w:r w:rsidRPr="00DE7940">
        <w:rPr>
          <w:b w:val="0"/>
          <w:lang w:val="fr-CA"/>
        </w:rPr>
        <w:t>Point 4 c)</w:t>
      </w:r>
      <w:r w:rsidR="00524CE1" w:rsidRPr="00DE7940">
        <w:rPr>
          <w:b w:val="0"/>
          <w:lang w:val="fr-CA"/>
        </w:rPr>
        <w:t xml:space="preserve"> </w:t>
      </w:r>
      <w:r w:rsidR="004D5297" w:rsidRPr="00DE7940">
        <w:rPr>
          <w:b w:val="0"/>
          <w:lang w:val="fr-CA"/>
        </w:rPr>
        <w:t>de l</w:t>
      </w:r>
      <w:r w:rsidR="000D794D" w:rsidRPr="00DE7940">
        <w:rPr>
          <w:b w:val="0"/>
          <w:lang w:val="fr-CA"/>
        </w:rPr>
        <w:t>’</w:t>
      </w:r>
      <w:r w:rsidR="004D5297" w:rsidRPr="00DE7940">
        <w:rPr>
          <w:b w:val="0"/>
          <w:lang w:val="fr-CA"/>
        </w:rPr>
        <w:t>ordre du jour provisoire</w:t>
      </w:r>
      <w:r w:rsidR="00524CE1" w:rsidRPr="00DE7940">
        <w:rPr>
          <w:rStyle w:val="FootnoteReference"/>
          <w:b w:val="0"/>
          <w:vertAlign w:val="baseline"/>
          <w:lang w:val="fr-CA"/>
        </w:rPr>
        <w:footnoteReference w:customMarkFollows="1" w:id="1"/>
        <w:t>*</w:t>
      </w:r>
    </w:p>
    <w:p w:rsidR="00524CE1" w:rsidRPr="00DE7940" w:rsidRDefault="00B7638D" w:rsidP="00524CE1">
      <w:pPr>
        <w:pStyle w:val="AATitle2"/>
        <w:keepNext w:val="0"/>
        <w:keepLines w:val="0"/>
        <w:spacing w:before="60"/>
        <w:rPr>
          <w:lang w:val="fr-CA"/>
        </w:rPr>
      </w:pPr>
      <w:r w:rsidRPr="00DE7940">
        <w:rPr>
          <w:w w:val="103"/>
          <w:lang w:val="fr-CA"/>
        </w:rPr>
        <w:t xml:space="preserve">Questions </w:t>
      </w:r>
      <w:r w:rsidRPr="00DE7940">
        <w:rPr>
          <w:w w:val="103"/>
          <w:kern w:val="14"/>
          <w:lang w:val="fr-CA"/>
        </w:rPr>
        <w:t>relatives</w:t>
      </w:r>
      <w:r w:rsidRPr="00DE7940">
        <w:rPr>
          <w:w w:val="103"/>
          <w:lang w:val="fr-CA"/>
        </w:rPr>
        <w:t xml:space="preserve"> à la politique et à la gouvernance</w:t>
      </w:r>
      <w:r w:rsidRPr="00DE7940">
        <w:rPr>
          <w:w w:val="103"/>
          <w:kern w:val="14"/>
          <w:lang w:val="fr-CA"/>
        </w:rPr>
        <w:t xml:space="preserve"> internationales en matière d</w:t>
      </w:r>
      <w:r w:rsidR="000D794D" w:rsidRPr="00DE7940">
        <w:rPr>
          <w:w w:val="103"/>
          <w:kern w:val="14"/>
          <w:lang w:val="fr-CA"/>
        </w:rPr>
        <w:t>’</w:t>
      </w:r>
      <w:r w:rsidRPr="00DE7940">
        <w:rPr>
          <w:w w:val="103"/>
          <w:kern w:val="14"/>
          <w:lang w:val="fr-CA"/>
        </w:rPr>
        <w:t xml:space="preserve">environnement : </w:t>
      </w:r>
      <w:r w:rsidRPr="00DE7940">
        <w:rPr>
          <w:lang w:val="fr-CA"/>
        </w:rPr>
        <w:t>produits chimiques et déchets</w:t>
      </w:r>
    </w:p>
    <w:p w:rsidR="00524CE1" w:rsidRPr="00DE7940" w:rsidRDefault="00D3083C" w:rsidP="00D3083C">
      <w:pPr>
        <w:pStyle w:val="BBTitle"/>
        <w:rPr>
          <w:lang w:val="fr-CA"/>
        </w:rPr>
      </w:pPr>
      <w:r w:rsidRPr="00DE7940">
        <w:rPr>
          <w:lang w:val="fr-CA"/>
        </w:rPr>
        <w:t>Résolution 1/5 : Produits chimiques et déchets</w:t>
      </w:r>
      <w:r w:rsidR="00524CE1" w:rsidRPr="00DE7940">
        <w:rPr>
          <w:lang w:val="fr-CA"/>
        </w:rPr>
        <w:t xml:space="preserve"> </w:t>
      </w:r>
    </w:p>
    <w:p w:rsidR="00524CE1" w:rsidRPr="00DE7940" w:rsidRDefault="00524CE1" w:rsidP="00D3083C">
      <w:pPr>
        <w:pStyle w:val="CH2"/>
        <w:rPr>
          <w:lang w:val="fr-CA"/>
        </w:rPr>
      </w:pPr>
      <w:r w:rsidRPr="00DE7940">
        <w:rPr>
          <w:lang w:val="fr-CA"/>
        </w:rPr>
        <w:tab/>
      </w:r>
      <w:r w:rsidRPr="00DE7940">
        <w:rPr>
          <w:lang w:val="fr-CA"/>
        </w:rPr>
        <w:tab/>
      </w:r>
      <w:r w:rsidR="00D3083C" w:rsidRPr="00DE7940">
        <w:rPr>
          <w:lang w:val="fr-CA"/>
        </w:rPr>
        <w:t>Rapport du Directeur exécutif</w:t>
      </w:r>
    </w:p>
    <w:tbl>
      <w:tblPr>
        <w:tblW w:w="9064"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64"/>
      </w:tblGrid>
      <w:tr w:rsidR="00524CE1" w:rsidRPr="00DE7940" w:rsidTr="000D29C4">
        <w:tc>
          <w:tcPr>
            <w:tcW w:w="9064" w:type="dxa"/>
          </w:tcPr>
          <w:p w:rsidR="00524CE1" w:rsidRPr="00DE7940" w:rsidRDefault="00D3083C" w:rsidP="00D3083C">
            <w:pPr>
              <w:spacing w:after="120"/>
              <w:rPr>
                <w:i/>
                <w:lang w:val="fr-CA"/>
              </w:rPr>
            </w:pPr>
            <w:r w:rsidRPr="00DE7940">
              <w:rPr>
                <w:i/>
                <w:lang w:val="fr-CA"/>
              </w:rPr>
              <w:t>Résumé</w:t>
            </w:r>
          </w:p>
          <w:p w:rsidR="00524CE1" w:rsidRPr="00DE7940" w:rsidRDefault="00D3083C" w:rsidP="00D3083C">
            <w:pPr>
              <w:pStyle w:val="Normal-pool"/>
              <w:tabs>
                <w:tab w:val="clear" w:pos="1247"/>
                <w:tab w:val="clear" w:pos="1814"/>
                <w:tab w:val="clear" w:pos="2381"/>
                <w:tab w:val="clear" w:pos="2948"/>
                <w:tab w:val="clear" w:pos="3515"/>
                <w:tab w:val="clear" w:pos="4082"/>
                <w:tab w:val="left" w:pos="624"/>
              </w:tabs>
              <w:spacing w:after="120"/>
              <w:ind w:left="1247" w:firstLine="624"/>
              <w:rPr>
                <w:lang w:val="fr-CA"/>
              </w:rPr>
            </w:pPr>
            <w:r w:rsidRPr="00DE7940">
              <w:rPr>
                <w:lang w:val="fr-CA"/>
              </w:rPr>
              <w:t xml:space="preserve">Le présent rapport, établi </w:t>
            </w:r>
            <w:r w:rsidR="004F3C27" w:rsidRPr="00DE7940">
              <w:rPr>
                <w:lang w:val="fr-CA"/>
              </w:rPr>
              <w:t>comme suite à</w:t>
            </w:r>
            <w:r w:rsidRPr="00DE7940">
              <w:rPr>
                <w:lang w:val="fr-CA"/>
              </w:rPr>
              <w:t xml:space="preserve"> la partie IX de la résolution 1/5</w:t>
            </w:r>
            <w:r w:rsidR="00397389" w:rsidRPr="00DE7940">
              <w:rPr>
                <w:lang w:val="fr-CA"/>
              </w:rPr>
              <w:t xml:space="preserve"> sur les produits chimiques et les déchets</w:t>
            </w:r>
            <w:r w:rsidRPr="00DE7940">
              <w:rPr>
                <w:lang w:val="fr-CA"/>
              </w:rPr>
              <w:t xml:space="preserve"> </w:t>
            </w:r>
            <w:r w:rsidR="00397389" w:rsidRPr="00DE7940">
              <w:rPr>
                <w:lang w:val="fr-CA"/>
              </w:rPr>
              <w:t>adoptée par</w:t>
            </w:r>
            <w:r w:rsidRPr="00DE7940">
              <w:rPr>
                <w:lang w:val="fr-CA"/>
              </w:rPr>
              <w:t xml:space="preserve"> l</w:t>
            </w:r>
            <w:r w:rsidR="000D794D" w:rsidRPr="00DE7940">
              <w:rPr>
                <w:lang w:val="fr-CA"/>
              </w:rPr>
              <w:t>’</w:t>
            </w:r>
            <w:r w:rsidRPr="00DE7940">
              <w:rPr>
                <w:lang w:val="fr-CA"/>
              </w:rPr>
              <w:t>Assemblée des Nations Unies pour l</w:t>
            </w:r>
            <w:r w:rsidR="000D794D" w:rsidRPr="00DE7940">
              <w:rPr>
                <w:lang w:val="fr-CA"/>
              </w:rPr>
              <w:t>’</w:t>
            </w:r>
            <w:r w:rsidRPr="00DE7940">
              <w:rPr>
                <w:lang w:val="fr-CA"/>
              </w:rPr>
              <w:t>environnement du Programme des Nations Unies pour l</w:t>
            </w:r>
            <w:r w:rsidR="000D794D" w:rsidRPr="00DE7940">
              <w:rPr>
                <w:lang w:val="fr-CA"/>
              </w:rPr>
              <w:t>’</w:t>
            </w:r>
            <w:r w:rsidRPr="00DE7940">
              <w:rPr>
                <w:lang w:val="fr-CA"/>
              </w:rPr>
              <w:t>environnement</w:t>
            </w:r>
            <w:r w:rsidR="004F3C27" w:rsidRPr="00DE7940">
              <w:rPr>
                <w:lang w:val="fr-CA"/>
              </w:rPr>
              <w:t xml:space="preserve"> </w:t>
            </w:r>
            <w:r w:rsidR="00A0173D" w:rsidRPr="00DE7940">
              <w:rPr>
                <w:lang w:val="fr-CA"/>
              </w:rPr>
              <w:t>(PNUE)</w:t>
            </w:r>
            <w:r w:rsidRPr="00DE7940">
              <w:rPr>
                <w:lang w:val="fr-CA"/>
              </w:rPr>
              <w:t>, décrit les progrès faits dans l</w:t>
            </w:r>
            <w:r w:rsidR="000D794D" w:rsidRPr="00DE7940">
              <w:rPr>
                <w:lang w:val="fr-CA"/>
              </w:rPr>
              <w:t>’</w:t>
            </w:r>
            <w:r w:rsidRPr="00DE7940">
              <w:rPr>
                <w:lang w:val="fr-CA"/>
              </w:rPr>
              <w:t>application de cette résolution.</w:t>
            </w:r>
          </w:p>
          <w:p w:rsidR="00524CE1" w:rsidRPr="00DE7940" w:rsidRDefault="00D3083C" w:rsidP="00826B5A">
            <w:pPr>
              <w:pStyle w:val="Normal-pool"/>
              <w:tabs>
                <w:tab w:val="clear" w:pos="1247"/>
                <w:tab w:val="clear" w:pos="1814"/>
                <w:tab w:val="clear" w:pos="2381"/>
                <w:tab w:val="clear" w:pos="2948"/>
                <w:tab w:val="clear" w:pos="3515"/>
                <w:tab w:val="clear" w:pos="4082"/>
                <w:tab w:val="left" w:pos="624"/>
              </w:tabs>
              <w:spacing w:after="120"/>
              <w:ind w:left="1247" w:firstLine="624"/>
              <w:rPr>
                <w:lang w:val="fr-CA"/>
              </w:rPr>
            </w:pPr>
            <w:r w:rsidRPr="00DE7940">
              <w:rPr>
                <w:lang w:val="fr-CA"/>
              </w:rPr>
              <w:t xml:space="preserve">Plutôt que de présenter un compte rendu </w:t>
            </w:r>
            <w:r w:rsidR="00337EB9" w:rsidRPr="00DE7940">
              <w:rPr>
                <w:lang w:val="fr-CA"/>
              </w:rPr>
              <w:t>complet des activités et des ré</w:t>
            </w:r>
            <w:r w:rsidRPr="00DE7940">
              <w:rPr>
                <w:lang w:val="fr-CA"/>
              </w:rPr>
              <w:t>s</w:t>
            </w:r>
            <w:r w:rsidR="00337EB9" w:rsidRPr="00DE7940">
              <w:rPr>
                <w:lang w:val="fr-CA"/>
              </w:rPr>
              <w:t>u</w:t>
            </w:r>
            <w:r w:rsidRPr="00DE7940">
              <w:rPr>
                <w:lang w:val="fr-CA"/>
              </w:rPr>
              <w:t xml:space="preserve">ltats du </w:t>
            </w:r>
            <w:r w:rsidR="00CA102E">
              <w:rPr>
                <w:lang w:val="fr-CA"/>
              </w:rPr>
              <w:br/>
            </w:r>
            <w:r w:rsidRPr="00DE7940">
              <w:rPr>
                <w:lang w:val="fr-CA"/>
              </w:rPr>
              <w:t xml:space="preserve">sous-programme </w:t>
            </w:r>
            <w:r w:rsidR="00A0173D" w:rsidRPr="00DE7940">
              <w:rPr>
                <w:lang w:val="fr-CA"/>
              </w:rPr>
              <w:t>des</w:t>
            </w:r>
            <w:r w:rsidRPr="00DE7940">
              <w:rPr>
                <w:lang w:val="fr-CA"/>
              </w:rPr>
              <w:t xml:space="preserve"> produits chimiques et déchets du programme de travail du PNUE, il met en relief ceux qui </w:t>
            </w:r>
            <w:r w:rsidR="00337EB9" w:rsidRPr="00DE7940">
              <w:rPr>
                <w:lang w:val="fr-CA"/>
              </w:rPr>
              <w:t>se rapportent</w:t>
            </w:r>
            <w:r w:rsidRPr="00DE7940">
              <w:rPr>
                <w:lang w:val="fr-CA"/>
              </w:rPr>
              <w:t xml:space="preserve"> directement </w:t>
            </w:r>
            <w:r w:rsidR="00337EB9" w:rsidRPr="00DE7940">
              <w:rPr>
                <w:lang w:val="fr-CA"/>
              </w:rPr>
              <w:t xml:space="preserve">à </w:t>
            </w:r>
            <w:r w:rsidRPr="00DE7940">
              <w:rPr>
                <w:lang w:val="fr-CA"/>
              </w:rPr>
              <w:t xml:space="preserve">la résolution 1/5 et </w:t>
            </w:r>
            <w:r w:rsidR="00337EB9" w:rsidRPr="00DE7940">
              <w:rPr>
                <w:lang w:val="fr-CA"/>
              </w:rPr>
              <w:t>fournit des informations supplémentaires sur les activités menées pour appuyer la poursuite de sa mise en œuvre.</w:t>
            </w:r>
          </w:p>
        </w:tc>
      </w:tr>
    </w:tbl>
    <w:p w:rsidR="00524CE1" w:rsidRPr="00DE7940" w:rsidRDefault="00524CE1" w:rsidP="00524CE1">
      <w:pPr>
        <w:rPr>
          <w:lang w:val="fr-CA"/>
        </w:rPr>
      </w:pP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b w:val="0"/>
          <w:lang w:val="fr-CA"/>
        </w:rPr>
        <w:br w:type="page"/>
      </w:r>
      <w:r w:rsidR="00710BF6" w:rsidRPr="00DE7940">
        <w:rPr>
          <w:lang w:val="fr-CA"/>
        </w:rPr>
        <w:lastRenderedPageBreak/>
        <w:t>Introduction</w:t>
      </w:r>
    </w:p>
    <w:p w:rsidR="00524CE1" w:rsidRPr="00DE7940" w:rsidRDefault="001C0E4A" w:rsidP="001C0E4A">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Le présent rapport résume les activités entreprises par le Programme des Nations Unies pour l</w:t>
      </w:r>
      <w:r w:rsidR="000D794D" w:rsidRPr="00DE7940">
        <w:rPr>
          <w:bCs/>
          <w:lang w:val="fr-CA"/>
        </w:rPr>
        <w:t>’</w:t>
      </w:r>
      <w:r w:rsidRPr="00DE7940">
        <w:rPr>
          <w:bCs/>
          <w:lang w:val="fr-CA"/>
        </w:rPr>
        <w:t>environnement (PNUE) pour appliquer la résolution 1/5 de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 xml:space="preserve">environnement sur les produits chimiques et les déchets; des informations plus détaillées sur ces activités </w:t>
      </w:r>
      <w:r w:rsidR="00212B0F" w:rsidRPr="00DE7940">
        <w:rPr>
          <w:bCs/>
          <w:lang w:val="fr-CA"/>
        </w:rPr>
        <w:t xml:space="preserve">sont présentées </w:t>
      </w:r>
      <w:r w:rsidRPr="00DE7940">
        <w:rPr>
          <w:bCs/>
          <w:lang w:val="fr-CA"/>
        </w:rPr>
        <w:t xml:space="preserve">dans les documents </w:t>
      </w:r>
      <w:r w:rsidR="00B7638D" w:rsidRPr="00DE7940">
        <w:rPr>
          <w:bCs/>
          <w:lang w:val="fr-CA"/>
        </w:rPr>
        <w:t>UNEP/EA.2/INF/18, UNEP/EA.2/INF/19, UNEP/EA.2/INF/20 et UNEP/EA.2/INF/21</w:t>
      </w:r>
      <w:r w:rsidRPr="00DE7940">
        <w:rPr>
          <w:bCs/>
          <w:lang w:val="fr-CA"/>
        </w:rPr>
        <w:t>.</w:t>
      </w:r>
      <w:r w:rsidR="00524CE1" w:rsidRPr="00DE7940">
        <w:rPr>
          <w:bCs/>
          <w:lang w:val="fr-CA"/>
        </w:rPr>
        <w:t xml:space="preserve"> </w:t>
      </w:r>
    </w:p>
    <w:p w:rsidR="00524CE1" w:rsidRPr="00DE7940" w:rsidRDefault="001C0E4A"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Poursuite du renforcement de la gestion rationnelle des produits chimiques et des déchets à long terme</w:t>
      </w:r>
    </w:p>
    <w:p w:rsidR="00524CE1" w:rsidRPr="00DE7940" w:rsidRDefault="001C0E4A" w:rsidP="00F1449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À sa première session,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environnement a prié le Di</w:t>
      </w:r>
      <w:r w:rsidR="00F14491" w:rsidRPr="00DE7940">
        <w:rPr>
          <w:bCs/>
          <w:lang w:val="fr-CA"/>
        </w:rPr>
        <w:t>recteur exécutif de transmettre, pour information au sujet des politiques et des actions, le document final du</w:t>
      </w:r>
      <w:r w:rsidRPr="00DE7940">
        <w:rPr>
          <w:bCs/>
          <w:lang w:val="fr-CA"/>
        </w:rPr>
        <w:t xml:space="preserve"> processus consultatif </w:t>
      </w:r>
      <w:r w:rsidR="00F14491" w:rsidRPr="00DE7940">
        <w:rPr>
          <w:bCs/>
          <w:lang w:val="fr-CA"/>
        </w:rPr>
        <w:t xml:space="preserve">engagé </w:t>
      </w:r>
      <w:r w:rsidRPr="00DE7940">
        <w:rPr>
          <w:bCs/>
          <w:lang w:val="fr-CA"/>
        </w:rPr>
        <w:t>à l</w:t>
      </w:r>
      <w:r w:rsidR="000D794D" w:rsidRPr="00DE7940">
        <w:rPr>
          <w:bCs/>
          <w:lang w:val="fr-CA"/>
        </w:rPr>
        <w:t>’</w:t>
      </w:r>
      <w:r w:rsidRPr="00DE7940">
        <w:rPr>
          <w:bCs/>
          <w:lang w:val="fr-CA"/>
        </w:rPr>
        <w:t>initiative des pays en vue d</w:t>
      </w:r>
      <w:r w:rsidR="000D794D" w:rsidRPr="00DE7940">
        <w:rPr>
          <w:bCs/>
          <w:lang w:val="fr-CA"/>
        </w:rPr>
        <w:t>’</w:t>
      </w:r>
      <w:r w:rsidRPr="00DE7940">
        <w:rPr>
          <w:bCs/>
          <w:lang w:val="fr-CA"/>
        </w:rPr>
        <w:t>améliorer la coopération et la coordination au sein du groupe des produits chimiques et des déchets, intitulé «</w:t>
      </w:r>
      <w:r w:rsidR="00CA102E">
        <w:rPr>
          <w:bCs/>
          <w:lang w:val="fr-CA"/>
        </w:rPr>
        <w:t> </w:t>
      </w:r>
      <w:r w:rsidRPr="00DE7940">
        <w:rPr>
          <w:bCs/>
          <w:lang w:val="fr-CA"/>
        </w:rPr>
        <w:t>Renforcer la gestion rationnelle des produits chimiq</w:t>
      </w:r>
      <w:r w:rsidR="00CA102E">
        <w:rPr>
          <w:bCs/>
          <w:lang w:val="fr-CA"/>
        </w:rPr>
        <w:t>ues et des déchets à long terme </w:t>
      </w:r>
      <w:r w:rsidRPr="00DE7940">
        <w:rPr>
          <w:bCs/>
          <w:lang w:val="fr-CA"/>
        </w:rPr>
        <w:t>»</w:t>
      </w:r>
      <w:r w:rsidR="00DB4EC5" w:rsidRPr="00DE7940">
        <w:rPr>
          <w:bCs/>
          <w:lang w:val="fr-CA"/>
        </w:rPr>
        <w:t xml:space="preserve"> (</w:t>
      </w:r>
      <w:r w:rsidR="00DB4EC5" w:rsidRPr="00DE7940">
        <w:rPr>
          <w:szCs w:val="18"/>
          <w:lang w:val="fr-CA"/>
        </w:rPr>
        <w:t>UNEP/EA.1/5/Add.2)</w:t>
      </w:r>
      <w:r w:rsidR="00F14491" w:rsidRPr="00DE7940">
        <w:rPr>
          <w:bCs/>
          <w:lang w:val="fr-CA"/>
        </w:rPr>
        <w:t>, aux instances suivantes :</w:t>
      </w:r>
    </w:p>
    <w:p w:rsidR="00524CE1" w:rsidRPr="00DE7940" w:rsidRDefault="00F14491" w:rsidP="00826B5A">
      <w:pPr>
        <w:pStyle w:val="Normalnumber"/>
        <w:numPr>
          <w:ilvl w:val="1"/>
          <w:numId w:val="41"/>
        </w:numPr>
        <w:tabs>
          <w:tab w:val="clear" w:pos="1247"/>
          <w:tab w:val="clear" w:pos="1814"/>
          <w:tab w:val="clear" w:pos="2381"/>
          <w:tab w:val="clear" w:pos="2948"/>
          <w:tab w:val="clear" w:pos="3515"/>
          <w:tab w:val="clear" w:pos="4082"/>
          <w:tab w:val="left" w:pos="624"/>
        </w:tabs>
        <w:ind w:left="1248" w:firstLine="624"/>
        <w:rPr>
          <w:bCs/>
          <w:lang w:val="fr-CA"/>
        </w:rPr>
      </w:pPr>
      <w:r w:rsidRPr="00DE7940">
        <w:rPr>
          <w:bCs/>
          <w:lang w:val="fr-CA"/>
        </w:rPr>
        <w:t>Le Forum politique de haut niveau pour le développement durable, et le Groupe de travail ouvert sur les objectifs de développement durable;</w:t>
      </w:r>
    </w:p>
    <w:p w:rsidR="00524CE1" w:rsidRPr="00DE7940" w:rsidRDefault="00F14491" w:rsidP="00826B5A">
      <w:pPr>
        <w:pStyle w:val="Normalnumber"/>
        <w:numPr>
          <w:ilvl w:val="1"/>
          <w:numId w:val="41"/>
        </w:numPr>
        <w:tabs>
          <w:tab w:val="clear" w:pos="1247"/>
          <w:tab w:val="clear" w:pos="1814"/>
          <w:tab w:val="clear" w:pos="2381"/>
          <w:tab w:val="clear" w:pos="2948"/>
          <w:tab w:val="clear" w:pos="3515"/>
          <w:tab w:val="clear" w:pos="4082"/>
          <w:tab w:val="left" w:pos="624"/>
        </w:tabs>
        <w:ind w:left="1248" w:firstLine="624"/>
        <w:rPr>
          <w:bCs/>
          <w:lang w:val="fr-CA"/>
        </w:rPr>
      </w:pPr>
      <w:r w:rsidRPr="00DE7940">
        <w:rPr>
          <w:bCs/>
          <w:lang w:val="fr-CA"/>
        </w:rPr>
        <w:t>Le Comité de négociation intergouvernemental de la Convention de Minamata sur le mercure à sa sixième session;</w:t>
      </w:r>
    </w:p>
    <w:p w:rsidR="00524CE1" w:rsidRPr="00DE7940" w:rsidRDefault="00F14491" w:rsidP="00826B5A">
      <w:pPr>
        <w:pStyle w:val="Normalnumber"/>
        <w:numPr>
          <w:ilvl w:val="1"/>
          <w:numId w:val="41"/>
        </w:numPr>
        <w:tabs>
          <w:tab w:val="clear" w:pos="1247"/>
          <w:tab w:val="clear" w:pos="1814"/>
          <w:tab w:val="clear" w:pos="2381"/>
          <w:tab w:val="clear" w:pos="2948"/>
          <w:tab w:val="clear" w:pos="3515"/>
          <w:tab w:val="clear" w:pos="4082"/>
          <w:tab w:val="left" w:pos="624"/>
        </w:tabs>
        <w:ind w:left="1248" w:firstLine="624"/>
        <w:rPr>
          <w:bCs/>
          <w:lang w:val="fr-CA"/>
        </w:rPr>
      </w:pPr>
      <w:r w:rsidRPr="00DE7940">
        <w:rPr>
          <w:bCs/>
          <w:lang w:val="fr-CA"/>
        </w:rPr>
        <w:t>Le Groupe de travail à composition non limitée de l</w:t>
      </w:r>
      <w:r w:rsidR="000D794D" w:rsidRPr="00DE7940">
        <w:rPr>
          <w:bCs/>
          <w:lang w:val="fr-CA"/>
        </w:rPr>
        <w:t>’</w:t>
      </w:r>
      <w:r w:rsidRPr="00DE7940">
        <w:rPr>
          <w:bCs/>
          <w:lang w:val="fr-CA"/>
        </w:rPr>
        <w:t>Approche stratégique de la gestion internationale des produits chimiques à sa deuxième réunion et la Conférence internationale sur la gestion des produits chimiques à sa quatrième session;</w:t>
      </w:r>
    </w:p>
    <w:p w:rsidR="00524CE1" w:rsidRPr="00DE7940" w:rsidRDefault="00F14491" w:rsidP="00826B5A">
      <w:pPr>
        <w:pStyle w:val="Normalnumber"/>
        <w:numPr>
          <w:ilvl w:val="1"/>
          <w:numId w:val="41"/>
        </w:numPr>
        <w:tabs>
          <w:tab w:val="clear" w:pos="1247"/>
          <w:tab w:val="clear" w:pos="1814"/>
          <w:tab w:val="clear" w:pos="2381"/>
          <w:tab w:val="clear" w:pos="2948"/>
          <w:tab w:val="clear" w:pos="3515"/>
          <w:tab w:val="clear" w:pos="4082"/>
          <w:tab w:val="left" w:pos="624"/>
        </w:tabs>
        <w:ind w:left="1248" w:firstLine="624"/>
        <w:rPr>
          <w:bCs/>
          <w:lang w:val="fr-CA"/>
        </w:rPr>
      </w:pPr>
      <w:r w:rsidRPr="00DE7940">
        <w:rPr>
          <w:bCs/>
          <w:lang w:val="fr-CA"/>
        </w:rPr>
        <w:t>Les conférences des Parties à la Convention de Bâle sur le contrôle des mouvements transfrontières de déchets dangereux et de leur élimination, à la Convention de Rotterdam sur la procédure de consentement préalable en connaissance de cause applicable à certains produits chimiques et pesticides dangereux qui font l</w:t>
      </w:r>
      <w:r w:rsidR="000D794D" w:rsidRPr="00DE7940">
        <w:rPr>
          <w:bCs/>
          <w:lang w:val="fr-CA"/>
        </w:rPr>
        <w:t>’</w:t>
      </w:r>
      <w:r w:rsidRPr="00DE7940">
        <w:rPr>
          <w:bCs/>
          <w:lang w:val="fr-CA"/>
        </w:rPr>
        <w:t>objet d</w:t>
      </w:r>
      <w:r w:rsidR="000D794D" w:rsidRPr="00DE7940">
        <w:rPr>
          <w:bCs/>
          <w:lang w:val="fr-CA"/>
        </w:rPr>
        <w:t>’</w:t>
      </w:r>
      <w:r w:rsidRPr="00DE7940">
        <w:rPr>
          <w:bCs/>
          <w:lang w:val="fr-CA"/>
        </w:rPr>
        <w:t>un commerce international et à la Convention de Stockholm sur les polluants organiques persistants;</w:t>
      </w:r>
      <w:r w:rsidR="00524CE1" w:rsidRPr="00DE7940">
        <w:rPr>
          <w:bCs/>
          <w:lang w:val="fr-CA"/>
        </w:rPr>
        <w:t xml:space="preserve"> </w:t>
      </w:r>
    </w:p>
    <w:p w:rsidR="00524CE1" w:rsidRPr="00DE7940" w:rsidRDefault="00F14491" w:rsidP="00826B5A">
      <w:pPr>
        <w:pStyle w:val="Normalnumber"/>
        <w:numPr>
          <w:ilvl w:val="1"/>
          <w:numId w:val="41"/>
        </w:numPr>
        <w:tabs>
          <w:tab w:val="clear" w:pos="1247"/>
          <w:tab w:val="clear" w:pos="1814"/>
          <w:tab w:val="clear" w:pos="2381"/>
          <w:tab w:val="clear" w:pos="2948"/>
          <w:tab w:val="clear" w:pos="3515"/>
          <w:tab w:val="clear" w:pos="4082"/>
          <w:tab w:val="left" w:pos="624"/>
        </w:tabs>
        <w:ind w:left="1248" w:firstLine="624"/>
        <w:rPr>
          <w:bCs/>
          <w:lang w:val="fr-CA"/>
        </w:rPr>
      </w:pPr>
      <w:r w:rsidRPr="00DE7940">
        <w:rPr>
          <w:bCs/>
          <w:lang w:val="fr-CA"/>
        </w:rPr>
        <w:t xml:space="preserve">Le Comité de coordination </w:t>
      </w:r>
      <w:proofErr w:type="spellStart"/>
      <w:r w:rsidRPr="00DE7940">
        <w:rPr>
          <w:bCs/>
          <w:lang w:val="fr-CA"/>
        </w:rPr>
        <w:t>interinstitutions</w:t>
      </w:r>
      <w:proofErr w:type="spellEnd"/>
      <w:r w:rsidRPr="00DE7940">
        <w:rPr>
          <w:bCs/>
          <w:lang w:val="fr-CA"/>
        </w:rPr>
        <w:t xml:space="preserve"> du Programme </w:t>
      </w:r>
      <w:proofErr w:type="spellStart"/>
      <w:r w:rsidRPr="00DE7940">
        <w:rPr>
          <w:bCs/>
          <w:lang w:val="fr-CA"/>
        </w:rPr>
        <w:t>interorganisations</w:t>
      </w:r>
      <w:proofErr w:type="spellEnd"/>
      <w:r w:rsidRPr="00DE7940">
        <w:rPr>
          <w:bCs/>
          <w:lang w:val="fr-CA"/>
        </w:rPr>
        <w:t xml:space="preserve"> pour la gestion rationnelle des produits chimiques</w:t>
      </w:r>
      <w:r w:rsidR="009B51ED" w:rsidRPr="00DE7940">
        <w:rPr>
          <w:bCs/>
          <w:lang w:val="fr-CA"/>
        </w:rPr>
        <w:t xml:space="preserve"> (IOMC)</w:t>
      </w:r>
      <w:r w:rsidRPr="00DE7940">
        <w:rPr>
          <w:bCs/>
          <w:lang w:val="fr-CA"/>
        </w:rPr>
        <w:t>;</w:t>
      </w:r>
    </w:p>
    <w:p w:rsidR="00524CE1" w:rsidRPr="00DE7940" w:rsidRDefault="001F664C" w:rsidP="00C73070">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Comme demandé, l</w:t>
      </w:r>
      <w:r w:rsidR="00F14491" w:rsidRPr="00DE7940">
        <w:rPr>
          <w:bCs/>
          <w:lang w:val="fr-CA"/>
        </w:rPr>
        <w:t>e rapport du Directeur exécutif a été présenté</w:t>
      </w:r>
      <w:r w:rsidR="00B939E5" w:rsidRPr="00DE7940">
        <w:rPr>
          <w:bCs/>
          <w:lang w:val="fr-CA"/>
        </w:rPr>
        <w:t xml:space="preserve"> à ces organes, qui lui ont réservé un bon accueil.</w:t>
      </w:r>
      <w:r w:rsidR="00524CE1" w:rsidRPr="00DE7940">
        <w:rPr>
          <w:bCs/>
          <w:lang w:val="fr-CA"/>
        </w:rPr>
        <w:t xml:space="preserve"> </w:t>
      </w:r>
    </w:p>
    <w:p w:rsidR="004D5297" w:rsidRPr="00DE7940" w:rsidRDefault="00B939E5" w:rsidP="007C4F8B">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La présentation d</w:t>
      </w:r>
      <w:r w:rsidR="006F0424" w:rsidRPr="00DE7940">
        <w:rPr>
          <w:bCs/>
          <w:lang w:val="fr-CA"/>
        </w:rPr>
        <w:t>e ce</w:t>
      </w:r>
      <w:r w:rsidRPr="00DE7940">
        <w:rPr>
          <w:bCs/>
          <w:lang w:val="fr-CA"/>
        </w:rPr>
        <w:t xml:space="preserve"> rapport à la Conférence internationale sur la gestion des produits chimiques à sa quatrième session</w:t>
      </w:r>
      <w:r w:rsidR="006F0424" w:rsidRPr="00DE7940">
        <w:rPr>
          <w:bCs/>
          <w:lang w:val="fr-CA"/>
        </w:rPr>
        <w:t xml:space="preserve"> a conduit</w:t>
      </w:r>
      <w:r w:rsidRPr="00DE7940">
        <w:rPr>
          <w:bCs/>
          <w:lang w:val="fr-CA"/>
        </w:rPr>
        <w:t xml:space="preserve">, </w:t>
      </w:r>
      <w:r w:rsidR="006F0424" w:rsidRPr="00DE7940">
        <w:rPr>
          <w:bCs/>
          <w:lang w:val="fr-CA"/>
        </w:rPr>
        <w:t>avec</w:t>
      </w:r>
      <w:r w:rsidRPr="00DE7940">
        <w:rPr>
          <w:bCs/>
          <w:lang w:val="fr-CA"/>
        </w:rPr>
        <w:t xml:space="preserve"> d</w:t>
      </w:r>
      <w:r w:rsidR="000D794D" w:rsidRPr="00DE7940">
        <w:rPr>
          <w:bCs/>
          <w:lang w:val="fr-CA"/>
        </w:rPr>
        <w:t>’</w:t>
      </w:r>
      <w:r w:rsidRPr="00DE7940">
        <w:rPr>
          <w:bCs/>
          <w:lang w:val="fr-CA"/>
        </w:rPr>
        <w:t xml:space="preserve">autres </w:t>
      </w:r>
      <w:r w:rsidR="00C73070" w:rsidRPr="00DE7940">
        <w:rPr>
          <w:bCs/>
          <w:lang w:val="fr-CA"/>
        </w:rPr>
        <w:t>éléments d</w:t>
      </w:r>
      <w:r w:rsidR="000D794D" w:rsidRPr="00DE7940">
        <w:rPr>
          <w:bCs/>
          <w:lang w:val="fr-CA"/>
        </w:rPr>
        <w:t>’</w:t>
      </w:r>
      <w:r w:rsidR="00C73070" w:rsidRPr="00DE7940">
        <w:rPr>
          <w:bCs/>
          <w:lang w:val="fr-CA"/>
        </w:rPr>
        <w:t>information</w:t>
      </w:r>
      <w:r w:rsidRPr="00DE7940">
        <w:rPr>
          <w:bCs/>
          <w:lang w:val="fr-CA"/>
        </w:rPr>
        <w:t>, à l</w:t>
      </w:r>
      <w:r w:rsidR="000D794D" w:rsidRPr="00DE7940">
        <w:rPr>
          <w:bCs/>
          <w:lang w:val="fr-CA"/>
        </w:rPr>
        <w:t>’</w:t>
      </w:r>
      <w:r w:rsidRPr="00DE7940">
        <w:rPr>
          <w:bCs/>
          <w:lang w:val="fr-CA"/>
        </w:rPr>
        <w:t>adoption de la résolution IV/4 sur l</w:t>
      </w:r>
      <w:r w:rsidR="000D794D" w:rsidRPr="00DE7940">
        <w:rPr>
          <w:bCs/>
          <w:lang w:val="fr-CA"/>
        </w:rPr>
        <w:t>’</w:t>
      </w:r>
      <w:r w:rsidRPr="00DE7940">
        <w:rPr>
          <w:bCs/>
          <w:lang w:val="fr-CA"/>
        </w:rPr>
        <w:t xml:space="preserve">Approche stratégique de la gestion internationale des produits chimiques et </w:t>
      </w:r>
      <w:r w:rsidR="006F0424" w:rsidRPr="00DE7940">
        <w:rPr>
          <w:bCs/>
          <w:lang w:val="fr-CA"/>
        </w:rPr>
        <w:t>la gestion rationnelle des produits chimiques et des déchets au-delà de 2020</w:t>
      </w:r>
      <w:r w:rsidR="00DB4EC5" w:rsidRPr="00DE7940">
        <w:rPr>
          <w:bCs/>
          <w:lang w:val="fr-CA"/>
        </w:rPr>
        <w:t xml:space="preserve"> (voir SAICM /ICCM.4/15)</w:t>
      </w:r>
      <w:r w:rsidRPr="00DE7940">
        <w:rPr>
          <w:bCs/>
          <w:lang w:val="fr-CA"/>
        </w:rPr>
        <w:t>.</w:t>
      </w:r>
    </w:p>
    <w:p w:rsidR="00524CE1" w:rsidRPr="00DE7940" w:rsidRDefault="004D5297" w:rsidP="007C4F8B">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La</w:t>
      </w:r>
      <w:r w:rsidR="006F0424" w:rsidRPr="00DE7940">
        <w:rPr>
          <w:bCs/>
          <w:lang w:val="fr-CA"/>
        </w:rPr>
        <w:t xml:space="preserve"> résolution </w:t>
      </w:r>
      <w:r w:rsidRPr="00DE7940">
        <w:rPr>
          <w:bCs/>
          <w:lang w:val="fr-CA"/>
        </w:rPr>
        <w:t xml:space="preserve">en question </w:t>
      </w:r>
      <w:r w:rsidR="006F0424" w:rsidRPr="00DE7940">
        <w:rPr>
          <w:bCs/>
          <w:lang w:val="fr-CA"/>
        </w:rPr>
        <w:t xml:space="preserve">demande </w:t>
      </w:r>
      <w:r w:rsidR="00FC2D59" w:rsidRPr="00DE7940">
        <w:rPr>
          <w:bCs/>
          <w:lang w:val="fr-CA"/>
        </w:rPr>
        <w:t>qu</w:t>
      </w:r>
      <w:r w:rsidR="000D794D" w:rsidRPr="00DE7940">
        <w:rPr>
          <w:bCs/>
          <w:lang w:val="fr-CA"/>
        </w:rPr>
        <w:t>’</w:t>
      </w:r>
      <w:r w:rsidR="006F0424" w:rsidRPr="00DE7940">
        <w:rPr>
          <w:bCs/>
          <w:lang w:val="fr-CA"/>
        </w:rPr>
        <w:t>une évaluation indépendante de l</w:t>
      </w:r>
      <w:r w:rsidR="000D794D" w:rsidRPr="00DE7940">
        <w:rPr>
          <w:bCs/>
          <w:lang w:val="fr-CA"/>
        </w:rPr>
        <w:t>’</w:t>
      </w:r>
      <w:r w:rsidR="006F0424" w:rsidRPr="00DE7940">
        <w:rPr>
          <w:bCs/>
          <w:lang w:val="fr-CA"/>
        </w:rPr>
        <w:t xml:space="preserve">Approche stratégique </w:t>
      </w:r>
      <w:r w:rsidR="00FC2D59" w:rsidRPr="00DE7940">
        <w:rPr>
          <w:bCs/>
          <w:lang w:val="fr-CA"/>
        </w:rPr>
        <w:t>soit menée et qu</w:t>
      </w:r>
      <w:r w:rsidR="000D794D" w:rsidRPr="00DE7940">
        <w:rPr>
          <w:bCs/>
          <w:lang w:val="fr-CA"/>
        </w:rPr>
        <w:t>’</w:t>
      </w:r>
      <w:r w:rsidR="00FC2D59" w:rsidRPr="00DE7940">
        <w:rPr>
          <w:bCs/>
          <w:lang w:val="fr-CA"/>
        </w:rPr>
        <w:t xml:space="preserve">un processus intersessions </w:t>
      </w:r>
      <w:r w:rsidR="00410AB1" w:rsidRPr="00DE7940">
        <w:rPr>
          <w:bCs/>
          <w:lang w:val="fr-CA"/>
        </w:rPr>
        <w:t xml:space="preserve">soit lancé </w:t>
      </w:r>
      <w:r w:rsidR="00910E60" w:rsidRPr="00DE7940">
        <w:rPr>
          <w:bCs/>
          <w:lang w:val="fr-CA"/>
        </w:rPr>
        <w:t>en vue de</w:t>
      </w:r>
      <w:r w:rsidR="00FC2D59" w:rsidRPr="00DE7940">
        <w:rPr>
          <w:bCs/>
          <w:lang w:val="fr-CA"/>
        </w:rPr>
        <w:t xml:space="preserve"> tenir d</w:t>
      </w:r>
      <w:r w:rsidR="00CA102E">
        <w:rPr>
          <w:bCs/>
          <w:lang w:val="fr-CA"/>
        </w:rPr>
        <w:t>eux réunions avant la troisième </w:t>
      </w:r>
      <w:r w:rsidR="00FC2D59" w:rsidRPr="00DE7940">
        <w:rPr>
          <w:bCs/>
          <w:lang w:val="fr-CA"/>
        </w:rPr>
        <w:t xml:space="preserve">réunion du Groupe de travail à composition non limitée, </w:t>
      </w:r>
      <w:r w:rsidR="00910E60" w:rsidRPr="00DE7940">
        <w:rPr>
          <w:bCs/>
          <w:lang w:val="fr-CA"/>
        </w:rPr>
        <w:t xml:space="preserve">à titre indicatif en 2018, </w:t>
      </w:r>
      <w:r w:rsidR="00FC2D59" w:rsidRPr="00DE7940">
        <w:rPr>
          <w:bCs/>
          <w:lang w:val="fr-CA"/>
        </w:rPr>
        <w:t xml:space="preserve">et une troisième entre cette réunion et </w:t>
      </w:r>
      <w:r w:rsidR="00910E60" w:rsidRPr="00DE7940">
        <w:rPr>
          <w:bCs/>
          <w:lang w:val="fr-CA"/>
        </w:rPr>
        <w:t>l</w:t>
      </w:r>
      <w:r w:rsidR="00FC2D59" w:rsidRPr="00DE7940">
        <w:rPr>
          <w:bCs/>
          <w:lang w:val="fr-CA"/>
        </w:rPr>
        <w:t>a cinquième session</w:t>
      </w:r>
      <w:r w:rsidR="00910E60" w:rsidRPr="00DE7940">
        <w:rPr>
          <w:bCs/>
          <w:lang w:val="fr-CA"/>
        </w:rPr>
        <w:t xml:space="preserve"> de la Conférence</w:t>
      </w:r>
      <w:r w:rsidR="00FC2D59" w:rsidRPr="00DE7940">
        <w:rPr>
          <w:bCs/>
          <w:lang w:val="fr-CA"/>
        </w:rPr>
        <w:t xml:space="preserve">; le Groupe est également chargé de décider de la nécessité </w:t>
      </w:r>
      <w:r w:rsidR="00910E60" w:rsidRPr="00DE7940">
        <w:rPr>
          <w:bCs/>
          <w:lang w:val="fr-CA"/>
        </w:rPr>
        <w:t>d</w:t>
      </w:r>
      <w:r w:rsidR="000D794D" w:rsidRPr="00DE7940">
        <w:rPr>
          <w:bCs/>
          <w:lang w:val="fr-CA"/>
        </w:rPr>
        <w:t>’</w:t>
      </w:r>
      <w:r w:rsidR="00910E60" w:rsidRPr="00DE7940">
        <w:rPr>
          <w:bCs/>
          <w:lang w:val="fr-CA"/>
        </w:rPr>
        <w:t xml:space="preserve">organiser </w:t>
      </w:r>
      <w:r w:rsidR="00FC2D59" w:rsidRPr="00DE7940">
        <w:rPr>
          <w:bCs/>
          <w:lang w:val="fr-CA"/>
        </w:rPr>
        <w:t>de</w:t>
      </w:r>
      <w:r w:rsidR="00910E60" w:rsidRPr="00DE7940">
        <w:rPr>
          <w:bCs/>
          <w:lang w:val="fr-CA"/>
        </w:rPr>
        <w:t>s</w:t>
      </w:r>
      <w:r w:rsidR="00FC2D59" w:rsidRPr="00DE7940">
        <w:rPr>
          <w:bCs/>
          <w:lang w:val="fr-CA"/>
        </w:rPr>
        <w:t xml:space="preserve"> réunions supplémentaires.</w:t>
      </w:r>
      <w:r w:rsidR="00524CE1" w:rsidRPr="00DE7940">
        <w:rPr>
          <w:bCs/>
          <w:lang w:val="fr-CA"/>
        </w:rPr>
        <w:t xml:space="preserve"> </w:t>
      </w:r>
      <w:r w:rsidR="00910E60" w:rsidRPr="00DE7940">
        <w:rPr>
          <w:bCs/>
          <w:lang w:val="fr-CA"/>
        </w:rPr>
        <w:t>Les réunions intersessions seront ouvertes à toutes les parties prenantes de l</w:t>
      </w:r>
      <w:r w:rsidR="000D794D" w:rsidRPr="00DE7940">
        <w:rPr>
          <w:bCs/>
          <w:lang w:val="fr-CA"/>
        </w:rPr>
        <w:t>’</w:t>
      </w:r>
      <w:r w:rsidR="00910E60" w:rsidRPr="00DE7940">
        <w:rPr>
          <w:bCs/>
          <w:lang w:val="fr-CA"/>
        </w:rPr>
        <w:t>Approche stratégique, dont un nombre prédéterminé seront financ</w:t>
      </w:r>
      <w:r w:rsidR="007C4F8B" w:rsidRPr="00DE7940">
        <w:rPr>
          <w:bCs/>
          <w:lang w:val="fr-CA"/>
        </w:rPr>
        <w:t>ièrement prises en charge</w:t>
      </w:r>
      <w:r w:rsidR="00910E60" w:rsidRPr="00DE7940">
        <w:rPr>
          <w:bCs/>
          <w:lang w:val="fr-CA"/>
        </w:rPr>
        <w:t>, sous réserve de</w:t>
      </w:r>
      <w:r w:rsidR="00212B0F" w:rsidRPr="00DE7940">
        <w:rPr>
          <w:bCs/>
          <w:lang w:val="fr-CA"/>
        </w:rPr>
        <w:t xml:space="preserve"> la disponibilité de</w:t>
      </w:r>
      <w:r w:rsidR="00910E60" w:rsidRPr="00DE7940">
        <w:rPr>
          <w:bCs/>
          <w:lang w:val="fr-CA"/>
        </w:rPr>
        <w:t xml:space="preserve"> ressources.</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7C4F8B" w:rsidRPr="00DE7940">
        <w:rPr>
          <w:lang w:val="fr-CA"/>
        </w:rPr>
        <w:t>Approche intégrée pour le financement de la gestion rationnelle des produits chimiques et des déchets</w:t>
      </w:r>
      <w:r w:rsidRPr="00DE7940">
        <w:rPr>
          <w:lang w:val="fr-CA"/>
        </w:rPr>
        <w:t xml:space="preserve"> </w:t>
      </w:r>
    </w:p>
    <w:p w:rsidR="00524CE1" w:rsidRPr="00DE7940" w:rsidRDefault="00D80BF4" w:rsidP="00D80BF4">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rFonts w:eastAsia="Arial Unicode MS"/>
          <w:lang w:val="fr-CA"/>
        </w:rPr>
      </w:pPr>
      <w:r w:rsidRPr="00DE7940">
        <w:rPr>
          <w:bCs/>
          <w:lang w:val="fr-CA"/>
        </w:rPr>
        <w:t>À sa première session,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environnement a p</w:t>
      </w:r>
      <w:r w:rsidR="007C4F8B" w:rsidRPr="00DE7940">
        <w:rPr>
          <w:bCs/>
          <w:lang w:val="fr-CA"/>
        </w:rPr>
        <w:t>réconis</w:t>
      </w:r>
      <w:r w:rsidRPr="00DE7940">
        <w:rPr>
          <w:bCs/>
          <w:lang w:val="fr-CA"/>
        </w:rPr>
        <w:t>é</w:t>
      </w:r>
      <w:r w:rsidR="007C4F8B" w:rsidRPr="00DE7940">
        <w:rPr>
          <w:bCs/>
          <w:lang w:val="fr-CA"/>
        </w:rPr>
        <w:t xml:space="preserve"> </w:t>
      </w:r>
      <w:r w:rsidRPr="00DE7940">
        <w:rPr>
          <w:bCs/>
          <w:lang w:val="fr-CA"/>
        </w:rPr>
        <w:t>« </w:t>
      </w:r>
      <w:r w:rsidR="007C4F8B" w:rsidRPr="00DE7940">
        <w:rPr>
          <w:bCs/>
          <w:lang w:val="fr-CA"/>
        </w:rPr>
        <w:t>une approche intégrée pour financer la gestion rationnelle des produits chimiques et des déchets</w:t>
      </w:r>
      <w:r w:rsidRPr="00DE7940">
        <w:rPr>
          <w:bCs/>
          <w:lang w:val="fr-CA"/>
        </w:rPr>
        <w:t> »</w:t>
      </w:r>
      <w:r w:rsidR="007C4F8B" w:rsidRPr="00DE7940">
        <w:rPr>
          <w:bCs/>
          <w:lang w:val="fr-CA"/>
        </w:rPr>
        <w:t xml:space="preserve"> et </w:t>
      </w:r>
      <w:r w:rsidRPr="00DE7940">
        <w:rPr>
          <w:bCs/>
          <w:lang w:val="fr-CA"/>
        </w:rPr>
        <w:t xml:space="preserve">a </w:t>
      </w:r>
      <w:r w:rsidR="007C4F8B" w:rsidRPr="00DE7940">
        <w:rPr>
          <w:bCs/>
          <w:lang w:val="fr-CA"/>
        </w:rPr>
        <w:t>soulign</w:t>
      </w:r>
      <w:r w:rsidRPr="00DE7940">
        <w:rPr>
          <w:bCs/>
          <w:lang w:val="fr-CA"/>
        </w:rPr>
        <w:t>é</w:t>
      </w:r>
      <w:r w:rsidR="007C4F8B" w:rsidRPr="00DE7940">
        <w:rPr>
          <w:bCs/>
          <w:lang w:val="fr-CA"/>
        </w:rPr>
        <w:t xml:space="preserve"> que </w:t>
      </w:r>
      <w:r w:rsidRPr="00DE7940">
        <w:rPr>
          <w:bCs/>
          <w:lang w:val="fr-CA"/>
        </w:rPr>
        <w:t>« </w:t>
      </w:r>
      <w:r w:rsidR="007C4F8B" w:rsidRPr="00DE7940">
        <w:rPr>
          <w:bCs/>
          <w:lang w:val="fr-CA"/>
        </w:rPr>
        <w:t>les trois composantes de cette démarche, à savoir l</w:t>
      </w:r>
      <w:r w:rsidR="000D794D" w:rsidRPr="00DE7940">
        <w:rPr>
          <w:bCs/>
          <w:lang w:val="fr-CA"/>
        </w:rPr>
        <w:t>’</w:t>
      </w:r>
      <w:r w:rsidR="007C4F8B" w:rsidRPr="00DE7940">
        <w:rPr>
          <w:bCs/>
          <w:lang w:val="fr-CA"/>
        </w:rPr>
        <w:t>intégration, la participation des industries et le financement extérieur ciblé, sont complémentaires et indispensables pour assurer une gestion rationnelle des produits chimiques et des déchets à tous les niveaux</w:t>
      </w:r>
      <w:r w:rsidRPr="00DE7940">
        <w:rPr>
          <w:bCs/>
          <w:lang w:val="fr-CA"/>
        </w:rPr>
        <w:t> » (résolution 1/</w:t>
      </w:r>
      <w:r w:rsidR="00DB4EC5" w:rsidRPr="00DE7940">
        <w:rPr>
          <w:bCs/>
          <w:lang w:val="fr-CA"/>
        </w:rPr>
        <w:t>5</w:t>
      </w:r>
      <w:r w:rsidRPr="00DE7940">
        <w:rPr>
          <w:bCs/>
          <w:lang w:val="fr-CA"/>
        </w:rPr>
        <w:t>, section II).</w:t>
      </w:r>
      <w:r w:rsidR="00524CE1" w:rsidRPr="00DE7940">
        <w:rPr>
          <w:bCs/>
          <w:lang w:val="fr-CA"/>
        </w:rPr>
        <w:t xml:space="preserve"> </w:t>
      </w:r>
      <w:r w:rsidRPr="00DE7940">
        <w:rPr>
          <w:bCs/>
          <w:lang w:val="fr-CA"/>
        </w:rPr>
        <w:t>Elle a par ailleurs prié le Directeur exécutif, conformément au cadre du Programme spécial d</w:t>
      </w:r>
      <w:r w:rsidR="000D794D" w:rsidRPr="00DE7940">
        <w:rPr>
          <w:bCs/>
          <w:lang w:val="fr-CA"/>
        </w:rPr>
        <w:t>’</w:t>
      </w:r>
      <w:r w:rsidRPr="00DE7940">
        <w:rPr>
          <w:bCs/>
          <w:lang w:val="fr-CA"/>
        </w:rPr>
        <w:t>appui au renforcement des institutions nationales aux fins de la mise en œuvre des conventions de Bâle, de Rotterdam et de Stockholm, « de créer et de gérer le Fonds d</w:t>
      </w:r>
      <w:r w:rsidR="000D794D" w:rsidRPr="00DE7940">
        <w:rPr>
          <w:bCs/>
          <w:lang w:val="fr-CA"/>
        </w:rPr>
        <w:t>’</w:t>
      </w:r>
      <w:r w:rsidRPr="00DE7940">
        <w:rPr>
          <w:bCs/>
          <w:lang w:val="fr-CA"/>
        </w:rPr>
        <w:t>affectation spéciale pour le Programme spécial et d</w:t>
      </w:r>
      <w:r w:rsidR="000D794D" w:rsidRPr="00DE7940">
        <w:rPr>
          <w:bCs/>
          <w:lang w:val="fr-CA"/>
        </w:rPr>
        <w:t>’</w:t>
      </w:r>
      <w:r w:rsidRPr="00DE7940">
        <w:rPr>
          <w:bCs/>
          <w:lang w:val="fr-CA"/>
        </w:rPr>
        <w:t xml:space="preserve">assurer des services de secrétariat pour fournir un appui administratif au </w:t>
      </w:r>
      <w:r w:rsidRPr="00DE7940">
        <w:rPr>
          <w:bCs/>
          <w:lang w:val="fr-CA"/>
        </w:rPr>
        <w:lastRenderedPageBreak/>
        <w:t xml:space="preserve">programme » et de « soumettre, pour information, le </w:t>
      </w:r>
      <w:r w:rsidR="00CA102E">
        <w:rPr>
          <w:bCs/>
          <w:lang w:val="fr-CA"/>
        </w:rPr>
        <w:t>cadre du Programme spécial aux c</w:t>
      </w:r>
      <w:r w:rsidRPr="00DE7940">
        <w:rPr>
          <w:bCs/>
          <w:lang w:val="fr-CA"/>
        </w:rPr>
        <w:t>onférences des Parties aux conventions de Bâle, de Rotterdam et de Stockholm, au Comité de négociation intergouvernemental de la Convention de Minamata sur le mercure et au Groupe de travail à composition non limitée de l</w:t>
      </w:r>
      <w:r w:rsidR="000D794D" w:rsidRPr="00DE7940">
        <w:rPr>
          <w:bCs/>
          <w:lang w:val="fr-CA"/>
        </w:rPr>
        <w:t>’</w:t>
      </w:r>
      <w:r w:rsidRPr="00DE7940">
        <w:rPr>
          <w:bCs/>
          <w:lang w:val="fr-CA"/>
        </w:rPr>
        <w:t>Approche stratégique de la gestion internationale des produits chimiques »</w:t>
      </w:r>
      <w:r w:rsidR="000D794D" w:rsidRPr="00DE7940">
        <w:rPr>
          <w:bCs/>
          <w:lang w:val="fr-CA"/>
        </w:rPr>
        <w:t xml:space="preserve"> (résolution 1/5, section II)</w:t>
      </w:r>
      <w:r w:rsidRPr="00DE7940">
        <w:rPr>
          <w:bCs/>
          <w:lang w:val="fr-CA"/>
        </w:rPr>
        <w:t>.</w:t>
      </w:r>
    </w:p>
    <w:p w:rsidR="00524CE1" w:rsidRPr="00DE7940" w:rsidRDefault="00524CE1" w:rsidP="000D29C4">
      <w:pPr>
        <w:pStyle w:val="CH2"/>
        <w:rPr>
          <w:bCs/>
          <w:iCs/>
          <w:lang w:val="fr-CA"/>
        </w:rPr>
      </w:pPr>
      <w:r w:rsidRPr="00DE7940">
        <w:rPr>
          <w:bCs/>
          <w:iCs/>
          <w:lang w:val="fr-CA"/>
        </w:rPr>
        <w:tab/>
      </w:r>
      <w:r w:rsidR="00D80BF4" w:rsidRPr="00DE7940">
        <w:rPr>
          <w:bCs/>
          <w:iCs/>
          <w:lang w:val="fr-CA"/>
        </w:rPr>
        <w:t>A.</w:t>
      </w:r>
      <w:r w:rsidRPr="00DE7940">
        <w:rPr>
          <w:bCs/>
          <w:iCs/>
          <w:lang w:val="fr-CA"/>
        </w:rPr>
        <w:tab/>
      </w:r>
      <w:r w:rsidR="00D80BF4" w:rsidRPr="00DE7940">
        <w:rPr>
          <w:bCs/>
          <w:iCs/>
          <w:lang w:val="fr-CA"/>
        </w:rPr>
        <w:t xml:space="preserve">Financement extérieur ciblé : </w:t>
      </w:r>
      <w:r w:rsidR="000D29C4" w:rsidRPr="00DE7940">
        <w:rPr>
          <w:bCs/>
          <w:iCs/>
          <w:lang w:val="fr-CA"/>
        </w:rPr>
        <w:t>Programme spécial d</w:t>
      </w:r>
      <w:r w:rsidR="000D794D" w:rsidRPr="00DE7940">
        <w:rPr>
          <w:bCs/>
          <w:iCs/>
          <w:lang w:val="fr-CA"/>
        </w:rPr>
        <w:t>’</w:t>
      </w:r>
      <w:r w:rsidR="000D29C4" w:rsidRPr="00DE7940">
        <w:rPr>
          <w:bCs/>
          <w:iCs/>
          <w:lang w:val="fr-CA"/>
        </w:rPr>
        <w:t>appui au renforcement des institutions nationales</w:t>
      </w:r>
    </w:p>
    <w:p w:rsidR="00524CE1" w:rsidRPr="00DE7940" w:rsidRDefault="000D29C4" w:rsidP="0036356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Le secrétariat du Programme spécial d</w:t>
      </w:r>
      <w:r w:rsidR="000D794D" w:rsidRPr="00DE7940">
        <w:rPr>
          <w:bCs/>
          <w:lang w:val="fr-CA"/>
        </w:rPr>
        <w:t>’</w:t>
      </w:r>
      <w:r w:rsidRPr="00DE7940">
        <w:rPr>
          <w:bCs/>
          <w:lang w:val="fr-CA"/>
        </w:rPr>
        <w:t>appui au renforcement des institutions nationales aux fins d</w:t>
      </w:r>
      <w:r w:rsidR="000D794D" w:rsidRPr="00DE7940">
        <w:rPr>
          <w:bCs/>
          <w:lang w:val="fr-CA"/>
        </w:rPr>
        <w:t>’</w:t>
      </w:r>
      <w:r w:rsidRPr="00DE7940">
        <w:rPr>
          <w:bCs/>
          <w:lang w:val="fr-CA"/>
        </w:rPr>
        <w:t>une meilleure mise en œuvre des conventions de Bâle, de Rotterdam et de Stockholm, de la Convention de Minamata sur le mercure et de l</w:t>
      </w:r>
      <w:r w:rsidR="000D794D" w:rsidRPr="00DE7940">
        <w:rPr>
          <w:bCs/>
          <w:lang w:val="fr-CA"/>
        </w:rPr>
        <w:t>’</w:t>
      </w:r>
      <w:r w:rsidRPr="00DE7940">
        <w:rPr>
          <w:bCs/>
          <w:lang w:val="fr-CA"/>
        </w:rPr>
        <w:t xml:space="preserve">Approche stratégique de la gestion internationale des produits chimiques, qui est hébergé </w:t>
      </w:r>
      <w:r w:rsidR="00363561" w:rsidRPr="00DE7940">
        <w:rPr>
          <w:bCs/>
          <w:lang w:val="fr-CA"/>
        </w:rPr>
        <w:t>par le</w:t>
      </w:r>
      <w:r w:rsidRPr="00DE7940">
        <w:rPr>
          <w:bCs/>
          <w:lang w:val="fr-CA"/>
        </w:rPr>
        <w:t xml:space="preserve"> Service Substances chimiques et Déchets de la Division Technologie, Industrie et Économie</w:t>
      </w:r>
      <w:r w:rsidR="000D794D" w:rsidRPr="00DE7940">
        <w:rPr>
          <w:bCs/>
          <w:lang w:val="fr-CA"/>
        </w:rPr>
        <w:t xml:space="preserve"> </w:t>
      </w:r>
      <w:r w:rsidR="00D01724" w:rsidRPr="00DE7940">
        <w:rPr>
          <w:bCs/>
          <w:lang w:val="fr-CA"/>
        </w:rPr>
        <w:t xml:space="preserve">(DTIE) </w:t>
      </w:r>
      <w:r w:rsidR="000D794D" w:rsidRPr="00DE7940">
        <w:rPr>
          <w:bCs/>
          <w:lang w:val="fr-CA"/>
        </w:rPr>
        <w:t>du PNUE</w:t>
      </w:r>
      <w:r w:rsidR="00363561" w:rsidRPr="00DE7940">
        <w:rPr>
          <w:bCs/>
          <w:lang w:val="fr-CA"/>
        </w:rPr>
        <w:t>,</w:t>
      </w:r>
      <w:r w:rsidRPr="00DE7940">
        <w:rPr>
          <w:bCs/>
          <w:lang w:val="fr-CA"/>
        </w:rPr>
        <w:t xml:space="preserve"> est devenu opérationnel en 2015, avec l</w:t>
      </w:r>
      <w:r w:rsidR="00363561" w:rsidRPr="00DE7940">
        <w:rPr>
          <w:bCs/>
          <w:lang w:val="fr-CA"/>
        </w:rPr>
        <w:t>a nomination d</w:t>
      </w:r>
      <w:r w:rsidR="000D794D" w:rsidRPr="00DE7940">
        <w:rPr>
          <w:bCs/>
          <w:lang w:val="fr-CA"/>
        </w:rPr>
        <w:t>’</w:t>
      </w:r>
      <w:r w:rsidR="00363561" w:rsidRPr="00DE7940">
        <w:rPr>
          <w:bCs/>
          <w:lang w:val="fr-CA"/>
        </w:rPr>
        <w:t>un Administrateur de programme</w:t>
      </w:r>
      <w:r w:rsidRPr="00DE7940">
        <w:rPr>
          <w:bCs/>
          <w:lang w:val="fr-CA"/>
        </w:rPr>
        <w:t>.</w:t>
      </w:r>
      <w:r w:rsidR="00524CE1" w:rsidRPr="00DE7940">
        <w:rPr>
          <w:bCs/>
          <w:lang w:val="fr-CA"/>
        </w:rPr>
        <w:t xml:space="preserve"> </w:t>
      </w:r>
    </w:p>
    <w:p w:rsidR="00524CE1" w:rsidRPr="00DE7940" w:rsidRDefault="00B077D1" w:rsidP="00AB340F">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Le Fonds d</w:t>
      </w:r>
      <w:r w:rsidR="000D794D" w:rsidRPr="00DE7940">
        <w:rPr>
          <w:bCs/>
          <w:lang w:val="fr-CA"/>
        </w:rPr>
        <w:t>’</w:t>
      </w:r>
      <w:r w:rsidRPr="00DE7940">
        <w:rPr>
          <w:bCs/>
          <w:lang w:val="fr-CA"/>
        </w:rPr>
        <w:t xml:space="preserve">affectation spéciale pour le </w:t>
      </w:r>
      <w:r w:rsidR="0082334E" w:rsidRPr="00DE7940">
        <w:rPr>
          <w:bCs/>
          <w:lang w:val="fr-CA"/>
        </w:rPr>
        <w:t xml:space="preserve">Programme </w:t>
      </w:r>
      <w:r w:rsidR="00CA102E">
        <w:rPr>
          <w:bCs/>
          <w:lang w:val="fr-CA"/>
        </w:rPr>
        <w:t>a été mis en place par le S</w:t>
      </w:r>
      <w:r w:rsidRPr="00DE7940">
        <w:rPr>
          <w:bCs/>
          <w:lang w:val="fr-CA"/>
        </w:rPr>
        <w:t>iège de l</w:t>
      </w:r>
      <w:r w:rsidR="000D794D" w:rsidRPr="00DE7940">
        <w:rPr>
          <w:bCs/>
          <w:lang w:val="fr-CA"/>
        </w:rPr>
        <w:t>’</w:t>
      </w:r>
      <w:r w:rsidRPr="00DE7940">
        <w:rPr>
          <w:bCs/>
          <w:lang w:val="fr-CA"/>
        </w:rPr>
        <w:t xml:space="preserve">Organisation des Nations Unies. Au 24 février 2016, </w:t>
      </w:r>
      <w:r w:rsidR="002D6B2F" w:rsidRPr="00DE7940">
        <w:rPr>
          <w:bCs/>
          <w:lang w:val="fr-CA"/>
        </w:rPr>
        <w:t>de</w:t>
      </w:r>
      <w:r w:rsidRPr="00DE7940">
        <w:rPr>
          <w:bCs/>
          <w:lang w:val="fr-CA"/>
        </w:rPr>
        <w:t xml:space="preserve"> </w:t>
      </w:r>
      <w:r w:rsidR="002D6B2F" w:rsidRPr="00DE7940">
        <w:rPr>
          <w:bCs/>
          <w:lang w:val="fr-CA"/>
        </w:rPr>
        <w:t xml:space="preserve">substantielles </w:t>
      </w:r>
      <w:r w:rsidRPr="00DE7940">
        <w:rPr>
          <w:bCs/>
          <w:lang w:val="fr-CA"/>
        </w:rPr>
        <w:t>annonces de contribution avaient été reçues de l</w:t>
      </w:r>
      <w:r w:rsidR="000D794D" w:rsidRPr="00DE7940">
        <w:rPr>
          <w:bCs/>
          <w:lang w:val="fr-CA"/>
        </w:rPr>
        <w:t>’</w:t>
      </w:r>
      <w:r w:rsidRPr="00DE7940">
        <w:rPr>
          <w:bCs/>
          <w:lang w:val="fr-CA"/>
        </w:rPr>
        <w:t>Union européenne (1</w:t>
      </w:r>
      <w:r w:rsidR="004D5297" w:rsidRPr="00DE7940">
        <w:rPr>
          <w:bCs/>
          <w:lang w:val="fr-CA"/>
        </w:rPr>
        <w:t>1</w:t>
      </w:r>
      <w:r w:rsidRPr="00DE7940">
        <w:rPr>
          <w:bCs/>
          <w:lang w:val="fr-CA"/>
        </w:rPr>
        <w:t> million</w:t>
      </w:r>
      <w:r w:rsidR="004D5297" w:rsidRPr="00DE7940">
        <w:rPr>
          <w:bCs/>
          <w:lang w:val="fr-CA"/>
        </w:rPr>
        <w:t>s</w:t>
      </w:r>
      <w:r w:rsidRPr="00DE7940">
        <w:rPr>
          <w:bCs/>
          <w:lang w:val="fr-CA"/>
        </w:rPr>
        <w:t xml:space="preserve"> d</w:t>
      </w:r>
      <w:r w:rsidR="000D794D" w:rsidRPr="00DE7940">
        <w:rPr>
          <w:bCs/>
          <w:lang w:val="fr-CA"/>
        </w:rPr>
        <w:t>’</w:t>
      </w:r>
      <w:r w:rsidRPr="00DE7940">
        <w:rPr>
          <w:bCs/>
          <w:lang w:val="fr-CA"/>
        </w:rPr>
        <w:t>euros) ainsi que des Gouvernements allemand (180 000 euros), américain (750 000 dollars), finlandais (200 000 euros) et suédois (180 000 dollars).</w:t>
      </w:r>
    </w:p>
    <w:p w:rsidR="00524CE1" w:rsidRPr="00DE7940" w:rsidRDefault="00AB340F" w:rsidP="00A84A33">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Le Programme spécial est maintenant doté d</w:t>
      </w:r>
      <w:r w:rsidR="000D794D" w:rsidRPr="00DE7940">
        <w:rPr>
          <w:bCs/>
          <w:lang w:val="fr-CA"/>
        </w:rPr>
        <w:t>’</w:t>
      </w:r>
      <w:r w:rsidRPr="00DE7940">
        <w:rPr>
          <w:bCs/>
          <w:lang w:val="fr-CA"/>
        </w:rPr>
        <w:t>un Conseil exécutif,</w:t>
      </w:r>
      <w:r w:rsidR="00524CE1" w:rsidRPr="00DE7940">
        <w:rPr>
          <w:bCs/>
          <w:lang w:val="fr-CA"/>
        </w:rPr>
        <w:t xml:space="preserve"> </w:t>
      </w:r>
      <w:r w:rsidRPr="00DE7940">
        <w:rPr>
          <w:bCs/>
          <w:lang w:val="fr-CA"/>
        </w:rPr>
        <w:t>où les pays bénéficiaires sont représentés par l</w:t>
      </w:r>
      <w:r w:rsidR="000D794D" w:rsidRPr="00DE7940">
        <w:rPr>
          <w:bCs/>
          <w:lang w:val="fr-CA"/>
        </w:rPr>
        <w:t>’</w:t>
      </w:r>
      <w:r w:rsidRPr="00DE7940">
        <w:rPr>
          <w:bCs/>
          <w:lang w:val="fr-CA"/>
        </w:rPr>
        <w:t>Argentine et le Brésil (qui se partageront le mandat de deux ans) pour la région de l</w:t>
      </w:r>
      <w:r w:rsidR="000D794D" w:rsidRPr="00DE7940">
        <w:rPr>
          <w:bCs/>
          <w:lang w:val="fr-CA"/>
        </w:rPr>
        <w:t>’</w:t>
      </w:r>
      <w:r w:rsidRPr="00DE7940">
        <w:rPr>
          <w:bCs/>
          <w:lang w:val="fr-CA"/>
        </w:rPr>
        <w:t>Amérique latine et des Caraïbes, le Kenya pour la région de l</w:t>
      </w:r>
      <w:r w:rsidR="000D794D" w:rsidRPr="00DE7940">
        <w:rPr>
          <w:bCs/>
          <w:lang w:val="fr-CA"/>
        </w:rPr>
        <w:t>’</w:t>
      </w:r>
      <w:r w:rsidRPr="00DE7940">
        <w:rPr>
          <w:bCs/>
          <w:lang w:val="fr-CA"/>
        </w:rPr>
        <w:t>Afrique, l</w:t>
      </w:r>
      <w:r w:rsidR="000D794D" w:rsidRPr="00DE7940">
        <w:rPr>
          <w:bCs/>
          <w:lang w:val="fr-CA"/>
        </w:rPr>
        <w:t>’</w:t>
      </w:r>
      <w:r w:rsidRPr="00DE7940">
        <w:rPr>
          <w:bCs/>
          <w:lang w:val="fr-CA"/>
        </w:rPr>
        <w:t>ex-République yougoslave de Macédoine pour la région de l</w:t>
      </w:r>
      <w:r w:rsidR="000D794D" w:rsidRPr="00DE7940">
        <w:rPr>
          <w:bCs/>
          <w:lang w:val="fr-CA"/>
        </w:rPr>
        <w:t>’</w:t>
      </w:r>
      <w:r w:rsidRPr="00DE7940">
        <w:rPr>
          <w:bCs/>
          <w:lang w:val="fr-CA"/>
        </w:rPr>
        <w:t>Europe centrale et orientale et le Yémen pour les pays les moins avancés et les petits États insulaires en développement,</w:t>
      </w:r>
      <w:r w:rsidR="009E50FF" w:rsidRPr="00DE7940">
        <w:rPr>
          <w:bCs/>
          <w:lang w:val="fr-CA"/>
        </w:rPr>
        <w:t xml:space="preserve"> la région de l</w:t>
      </w:r>
      <w:r w:rsidR="000D794D" w:rsidRPr="00DE7940">
        <w:rPr>
          <w:bCs/>
          <w:lang w:val="fr-CA"/>
        </w:rPr>
        <w:t>’</w:t>
      </w:r>
      <w:r w:rsidR="009E50FF" w:rsidRPr="00DE7940">
        <w:rPr>
          <w:bCs/>
          <w:lang w:val="fr-CA"/>
        </w:rPr>
        <w:t>Asie et du Pacifique devant encore choisir son</w:t>
      </w:r>
      <w:r w:rsidRPr="00DE7940">
        <w:rPr>
          <w:bCs/>
          <w:lang w:val="fr-CA"/>
        </w:rPr>
        <w:t xml:space="preserve"> représent</w:t>
      </w:r>
      <w:r w:rsidR="009E50FF" w:rsidRPr="00DE7940">
        <w:rPr>
          <w:bCs/>
          <w:lang w:val="fr-CA"/>
        </w:rPr>
        <w:t>ant</w:t>
      </w:r>
      <w:r w:rsidRPr="00DE7940">
        <w:rPr>
          <w:bCs/>
          <w:lang w:val="fr-CA"/>
        </w:rPr>
        <w:t xml:space="preserve"> </w:t>
      </w:r>
      <w:r w:rsidR="009E50FF" w:rsidRPr="00DE7940">
        <w:rPr>
          <w:bCs/>
          <w:lang w:val="fr-CA"/>
        </w:rPr>
        <w:t>parmi les pays qui se sont portés candidats.</w:t>
      </w:r>
      <w:r w:rsidR="00524CE1" w:rsidRPr="00DE7940">
        <w:rPr>
          <w:bCs/>
          <w:lang w:val="fr-CA"/>
        </w:rPr>
        <w:t xml:space="preserve"> </w:t>
      </w:r>
      <w:r w:rsidR="009E50FF" w:rsidRPr="00DE7940">
        <w:rPr>
          <w:bCs/>
          <w:lang w:val="fr-CA"/>
        </w:rPr>
        <w:t>L</w:t>
      </w:r>
      <w:r w:rsidR="001F664C" w:rsidRPr="00DE7940">
        <w:rPr>
          <w:bCs/>
          <w:lang w:val="fr-CA"/>
        </w:rPr>
        <w:t>e Conseil exécutif comprend également des représentants d</w:t>
      </w:r>
      <w:r w:rsidR="009E50FF" w:rsidRPr="00DE7940">
        <w:rPr>
          <w:bCs/>
          <w:lang w:val="fr-CA"/>
        </w:rPr>
        <w:t>es pays donateurs</w:t>
      </w:r>
      <w:r w:rsidR="001F664C" w:rsidRPr="00DE7940">
        <w:rPr>
          <w:bCs/>
          <w:lang w:val="fr-CA"/>
        </w:rPr>
        <w:t>,</w:t>
      </w:r>
      <w:r w:rsidR="009E50FF" w:rsidRPr="00DE7940">
        <w:rPr>
          <w:bCs/>
          <w:lang w:val="fr-CA"/>
        </w:rPr>
        <w:t xml:space="preserve"> </w:t>
      </w:r>
      <w:r w:rsidR="00FB5B99" w:rsidRPr="00DE7940">
        <w:rPr>
          <w:bCs/>
          <w:lang w:val="fr-CA"/>
        </w:rPr>
        <w:t>à savoir</w:t>
      </w:r>
      <w:r w:rsidR="009E50FF" w:rsidRPr="00DE7940">
        <w:rPr>
          <w:bCs/>
          <w:lang w:val="fr-CA"/>
        </w:rPr>
        <w:t xml:space="preserve"> l</w:t>
      </w:r>
      <w:r w:rsidR="000D794D" w:rsidRPr="00DE7940">
        <w:rPr>
          <w:bCs/>
          <w:lang w:val="fr-CA"/>
        </w:rPr>
        <w:t>’</w:t>
      </w:r>
      <w:r w:rsidR="009E50FF" w:rsidRPr="00DE7940">
        <w:rPr>
          <w:bCs/>
          <w:lang w:val="fr-CA"/>
        </w:rPr>
        <w:t>Allemagne, les États-Unis, la Finlande, la Suède et l</w:t>
      </w:r>
      <w:r w:rsidR="000D794D" w:rsidRPr="00DE7940">
        <w:rPr>
          <w:bCs/>
          <w:lang w:val="fr-CA"/>
        </w:rPr>
        <w:t>’</w:t>
      </w:r>
      <w:r w:rsidR="009E50FF" w:rsidRPr="00DE7940">
        <w:rPr>
          <w:bCs/>
          <w:lang w:val="fr-CA"/>
        </w:rPr>
        <w:t>Union européenne.</w:t>
      </w:r>
      <w:r w:rsidR="00524CE1" w:rsidRPr="00DE7940">
        <w:rPr>
          <w:bCs/>
          <w:lang w:val="fr-CA"/>
        </w:rPr>
        <w:t xml:space="preserve"> </w:t>
      </w:r>
    </w:p>
    <w:p w:rsidR="00524CE1" w:rsidRPr="00DE7940" w:rsidRDefault="00A84A33" w:rsidP="0082334E">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La première réunion du Conseil exécutif s</w:t>
      </w:r>
      <w:r w:rsidR="000D794D" w:rsidRPr="00DE7940">
        <w:rPr>
          <w:bCs/>
          <w:lang w:val="fr-CA"/>
        </w:rPr>
        <w:t>’</w:t>
      </w:r>
      <w:r w:rsidRPr="00DE7940">
        <w:rPr>
          <w:bCs/>
          <w:lang w:val="fr-CA"/>
        </w:rPr>
        <w:t>est tenue à Genève les 2 et 3 février 2016</w:t>
      </w:r>
      <w:r w:rsidR="00566A1E" w:rsidRPr="00DE7940">
        <w:rPr>
          <w:bCs/>
          <w:lang w:val="fr-CA"/>
        </w:rPr>
        <w:t>.</w:t>
      </w:r>
      <w:r w:rsidR="00C13273" w:rsidRPr="00DE7940">
        <w:rPr>
          <w:bCs/>
          <w:lang w:val="fr-CA"/>
        </w:rPr>
        <w:t xml:space="preserve"> </w:t>
      </w:r>
      <w:r w:rsidR="00566A1E" w:rsidRPr="00DE7940">
        <w:rPr>
          <w:bCs/>
          <w:lang w:val="fr-CA"/>
        </w:rPr>
        <w:t>Elle</w:t>
      </w:r>
      <w:r w:rsidR="008D7CBA" w:rsidRPr="00DE7940">
        <w:rPr>
          <w:bCs/>
          <w:lang w:val="fr-CA"/>
        </w:rPr>
        <w:t xml:space="preserve"> </w:t>
      </w:r>
      <w:r w:rsidR="006738AE" w:rsidRPr="00DE7940">
        <w:rPr>
          <w:bCs/>
          <w:lang w:val="fr-CA"/>
        </w:rPr>
        <w:t xml:space="preserve">a </w:t>
      </w:r>
      <w:r w:rsidR="00212B0F" w:rsidRPr="00DE7940">
        <w:rPr>
          <w:bCs/>
          <w:lang w:val="fr-CA"/>
        </w:rPr>
        <w:t>con</w:t>
      </w:r>
      <w:r w:rsidR="006738AE" w:rsidRPr="00DE7940">
        <w:rPr>
          <w:bCs/>
          <w:lang w:val="fr-CA"/>
        </w:rPr>
        <w:t>duit</w:t>
      </w:r>
      <w:r w:rsidR="008D7CBA" w:rsidRPr="00DE7940">
        <w:rPr>
          <w:bCs/>
          <w:lang w:val="fr-CA"/>
        </w:rPr>
        <w:t xml:space="preserve"> </w:t>
      </w:r>
      <w:r w:rsidR="00212B0F" w:rsidRPr="00DE7940">
        <w:rPr>
          <w:bCs/>
          <w:lang w:val="fr-CA"/>
        </w:rPr>
        <w:t xml:space="preserve">à </w:t>
      </w:r>
      <w:r w:rsidR="008D7CBA" w:rsidRPr="00DE7940">
        <w:rPr>
          <w:bCs/>
          <w:lang w:val="fr-CA"/>
        </w:rPr>
        <w:t xml:space="preserve">des </w:t>
      </w:r>
      <w:r w:rsidR="006738AE" w:rsidRPr="00DE7940">
        <w:rPr>
          <w:bCs/>
          <w:lang w:val="fr-CA"/>
        </w:rPr>
        <w:t>avancée</w:t>
      </w:r>
      <w:r w:rsidR="008D7CBA" w:rsidRPr="00DE7940">
        <w:rPr>
          <w:bCs/>
          <w:lang w:val="fr-CA"/>
        </w:rPr>
        <w:t>s notables</w:t>
      </w:r>
      <w:r w:rsidR="00566A1E" w:rsidRPr="00DE7940">
        <w:rPr>
          <w:bCs/>
          <w:lang w:val="fr-CA"/>
        </w:rPr>
        <w:t>,</w:t>
      </w:r>
      <w:r w:rsidR="008D7CBA" w:rsidRPr="00DE7940">
        <w:rPr>
          <w:bCs/>
          <w:lang w:val="fr-CA"/>
        </w:rPr>
        <w:t xml:space="preserve"> </w:t>
      </w:r>
      <w:r w:rsidR="00212B0F" w:rsidRPr="00DE7940">
        <w:rPr>
          <w:bCs/>
          <w:lang w:val="fr-CA"/>
        </w:rPr>
        <w:t>dont</w:t>
      </w:r>
      <w:r w:rsidR="006738AE" w:rsidRPr="00DE7940">
        <w:rPr>
          <w:bCs/>
          <w:lang w:val="fr-CA"/>
        </w:rPr>
        <w:t xml:space="preserve"> l</w:t>
      </w:r>
      <w:r w:rsidR="000D794D" w:rsidRPr="00DE7940">
        <w:rPr>
          <w:bCs/>
          <w:lang w:val="fr-CA"/>
        </w:rPr>
        <w:t>’</w:t>
      </w:r>
      <w:r w:rsidR="006738AE" w:rsidRPr="00DE7940">
        <w:rPr>
          <w:bCs/>
          <w:lang w:val="fr-CA"/>
        </w:rPr>
        <w:t>adoption</w:t>
      </w:r>
      <w:r w:rsidR="008D7CBA" w:rsidRPr="00DE7940">
        <w:rPr>
          <w:rStyle w:val="FootnoteReference"/>
          <w:bCs/>
          <w:lang w:val="fr-CA"/>
        </w:rPr>
        <w:footnoteReference w:id="2"/>
      </w:r>
      <w:r w:rsidR="002D6B2F" w:rsidRPr="00DE7940">
        <w:rPr>
          <w:bCs/>
          <w:lang w:val="fr-CA"/>
        </w:rPr>
        <w:t xml:space="preserve"> </w:t>
      </w:r>
      <w:r w:rsidR="006738AE" w:rsidRPr="00DE7940">
        <w:rPr>
          <w:bCs/>
          <w:lang w:val="fr-CA"/>
        </w:rPr>
        <w:t>du</w:t>
      </w:r>
      <w:r w:rsidRPr="00DE7940">
        <w:rPr>
          <w:bCs/>
          <w:lang w:val="fr-CA"/>
        </w:rPr>
        <w:t xml:space="preserve"> règlement intérieur du Conseil</w:t>
      </w:r>
      <w:r w:rsidR="002D6B2F" w:rsidRPr="00DE7940">
        <w:rPr>
          <w:bCs/>
          <w:lang w:val="fr-CA"/>
        </w:rPr>
        <w:t xml:space="preserve"> et</w:t>
      </w:r>
      <w:r w:rsidRPr="00DE7940">
        <w:rPr>
          <w:bCs/>
          <w:lang w:val="fr-CA"/>
        </w:rPr>
        <w:t xml:space="preserve"> </w:t>
      </w:r>
      <w:r w:rsidR="006738AE" w:rsidRPr="00DE7940">
        <w:rPr>
          <w:bCs/>
          <w:lang w:val="fr-CA"/>
        </w:rPr>
        <w:t>d</w:t>
      </w:r>
      <w:r w:rsidRPr="00DE7940">
        <w:rPr>
          <w:bCs/>
          <w:lang w:val="fr-CA"/>
        </w:rPr>
        <w:t xml:space="preserve">es directives </w:t>
      </w:r>
      <w:r w:rsidR="002D6B2F" w:rsidRPr="00DE7940">
        <w:rPr>
          <w:bCs/>
          <w:lang w:val="fr-CA"/>
        </w:rPr>
        <w:t xml:space="preserve">et formulaires </w:t>
      </w:r>
      <w:r w:rsidRPr="00DE7940">
        <w:rPr>
          <w:bCs/>
          <w:lang w:val="fr-CA"/>
        </w:rPr>
        <w:t xml:space="preserve">pour </w:t>
      </w:r>
      <w:r w:rsidR="002D6B2F" w:rsidRPr="00DE7940">
        <w:rPr>
          <w:bCs/>
          <w:lang w:val="fr-CA"/>
        </w:rPr>
        <w:t>la présent</w:t>
      </w:r>
      <w:r w:rsidRPr="00DE7940">
        <w:rPr>
          <w:bCs/>
          <w:lang w:val="fr-CA"/>
        </w:rPr>
        <w:t>ation de demande</w:t>
      </w:r>
      <w:r w:rsidR="002D6B2F" w:rsidRPr="00DE7940">
        <w:rPr>
          <w:bCs/>
          <w:lang w:val="fr-CA"/>
        </w:rPr>
        <w:t>s</w:t>
      </w:r>
      <w:r w:rsidRPr="00DE7940">
        <w:rPr>
          <w:bCs/>
          <w:lang w:val="fr-CA"/>
        </w:rPr>
        <w:t>.</w:t>
      </w:r>
      <w:r w:rsidR="00524CE1" w:rsidRPr="00DE7940">
        <w:rPr>
          <w:bCs/>
          <w:lang w:val="fr-CA"/>
        </w:rPr>
        <w:t xml:space="preserve"> </w:t>
      </w:r>
      <w:r w:rsidR="00566A1E" w:rsidRPr="00DE7940">
        <w:rPr>
          <w:bCs/>
          <w:lang w:val="fr-CA"/>
        </w:rPr>
        <w:t xml:space="preserve">Le Conseil </w:t>
      </w:r>
      <w:r w:rsidR="0082334E" w:rsidRPr="00DE7940">
        <w:rPr>
          <w:bCs/>
          <w:lang w:val="fr-CA"/>
        </w:rPr>
        <w:t>s</w:t>
      </w:r>
      <w:r w:rsidR="000D794D" w:rsidRPr="00DE7940">
        <w:rPr>
          <w:bCs/>
          <w:lang w:val="fr-CA"/>
        </w:rPr>
        <w:t>’</w:t>
      </w:r>
      <w:r w:rsidR="0082334E" w:rsidRPr="00DE7940">
        <w:rPr>
          <w:bCs/>
          <w:lang w:val="fr-CA"/>
        </w:rPr>
        <w:t>est</w:t>
      </w:r>
      <w:r w:rsidR="00566A1E" w:rsidRPr="00DE7940">
        <w:rPr>
          <w:bCs/>
          <w:lang w:val="fr-CA"/>
        </w:rPr>
        <w:t xml:space="preserve"> également a</w:t>
      </w:r>
      <w:r w:rsidR="0082334E" w:rsidRPr="00DE7940">
        <w:rPr>
          <w:bCs/>
          <w:lang w:val="fr-CA"/>
        </w:rPr>
        <w:t>ccordé sur</w:t>
      </w:r>
      <w:r w:rsidR="00566A1E" w:rsidRPr="00DE7940">
        <w:rPr>
          <w:bCs/>
          <w:lang w:val="fr-CA"/>
        </w:rPr>
        <w:t xml:space="preserve"> une proposition de calendrier pour 2016, qui prévoit le lancement du premier </w:t>
      </w:r>
      <w:r w:rsidR="0082334E" w:rsidRPr="00DE7940">
        <w:rPr>
          <w:bCs/>
          <w:lang w:val="fr-CA"/>
        </w:rPr>
        <w:t>cycle</w:t>
      </w:r>
      <w:r w:rsidR="00566A1E" w:rsidRPr="00DE7940">
        <w:rPr>
          <w:bCs/>
          <w:lang w:val="fr-CA"/>
        </w:rPr>
        <w:t xml:space="preserve"> de demandes d</w:t>
      </w:r>
      <w:r w:rsidR="000D794D" w:rsidRPr="00DE7940">
        <w:rPr>
          <w:bCs/>
          <w:lang w:val="fr-CA"/>
        </w:rPr>
        <w:t>’</w:t>
      </w:r>
      <w:r w:rsidR="0082334E" w:rsidRPr="00DE7940">
        <w:rPr>
          <w:bCs/>
          <w:lang w:val="fr-CA"/>
        </w:rPr>
        <w:t>assistance</w:t>
      </w:r>
      <w:r w:rsidR="00566A1E" w:rsidRPr="00DE7940">
        <w:rPr>
          <w:bCs/>
          <w:lang w:val="fr-CA"/>
        </w:rPr>
        <w:t xml:space="preserve"> au titre du Programme spécial au plus tard en avril 2016.</w:t>
      </w:r>
      <w:r w:rsidR="00524CE1" w:rsidRPr="00DE7940">
        <w:rPr>
          <w:bCs/>
          <w:lang w:val="fr-CA"/>
        </w:rPr>
        <w:t xml:space="preserve"> </w:t>
      </w:r>
      <w:r w:rsidR="008F61A9" w:rsidRPr="00DE7940">
        <w:rPr>
          <w:bCs/>
          <w:lang w:val="fr-CA"/>
        </w:rPr>
        <w:t>Les premiers projets à recevoir un financement au titre du Programme devraient en principe être approuvés par le Conseil à sa deuxième réunion au cours du dernier trimestre 2016.</w:t>
      </w:r>
    </w:p>
    <w:p w:rsidR="00524CE1" w:rsidRPr="00DE7940" w:rsidRDefault="00524CE1" w:rsidP="006B6D44">
      <w:pPr>
        <w:pStyle w:val="CH2"/>
        <w:rPr>
          <w:bCs/>
          <w:iCs/>
          <w:lang w:val="fr-CA"/>
        </w:rPr>
      </w:pPr>
      <w:r w:rsidRPr="00DE7940">
        <w:rPr>
          <w:bCs/>
          <w:iCs/>
          <w:lang w:val="fr-CA"/>
        </w:rPr>
        <w:tab/>
      </w:r>
      <w:r w:rsidR="0082334E" w:rsidRPr="00DE7940">
        <w:rPr>
          <w:bCs/>
          <w:iCs/>
          <w:lang w:val="fr-CA"/>
        </w:rPr>
        <w:t>B.</w:t>
      </w:r>
      <w:r w:rsidRPr="00DE7940">
        <w:rPr>
          <w:bCs/>
          <w:iCs/>
          <w:lang w:val="fr-CA"/>
        </w:rPr>
        <w:tab/>
      </w:r>
      <w:r w:rsidR="0082334E" w:rsidRPr="00DE7940">
        <w:rPr>
          <w:bCs/>
          <w:iCs/>
          <w:lang w:val="fr-CA"/>
        </w:rPr>
        <w:t>Intégration</w:t>
      </w:r>
    </w:p>
    <w:p w:rsidR="00524CE1" w:rsidRPr="00DE7940" w:rsidRDefault="006B6D44" w:rsidP="0010779B">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En 2015, </w:t>
      </w:r>
      <w:r w:rsidR="003A759E" w:rsidRPr="00DE7940">
        <w:rPr>
          <w:lang w:val="fr-CA"/>
        </w:rPr>
        <w:t xml:space="preserve">pour </w:t>
      </w:r>
      <w:r w:rsidR="00D5341F" w:rsidRPr="00DE7940">
        <w:rPr>
          <w:lang w:val="fr-CA"/>
        </w:rPr>
        <w:t>faciliter la mise en œuvre d</w:t>
      </w:r>
      <w:r w:rsidR="00F248EE" w:rsidRPr="00DE7940">
        <w:rPr>
          <w:lang w:val="fr-CA"/>
        </w:rPr>
        <w:t>u volet</w:t>
      </w:r>
      <w:r w:rsidRPr="00DE7940">
        <w:rPr>
          <w:lang w:val="fr-CA"/>
        </w:rPr>
        <w:t xml:space="preserve"> « intégration » de l</w:t>
      </w:r>
      <w:r w:rsidR="000D794D" w:rsidRPr="00DE7940">
        <w:rPr>
          <w:lang w:val="fr-CA"/>
        </w:rPr>
        <w:t>’</w:t>
      </w:r>
      <w:r w:rsidRPr="00DE7940">
        <w:rPr>
          <w:lang w:val="fr-CA"/>
        </w:rPr>
        <w:t xml:space="preserve">Approche stratégique, </w:t>
      </w:r>
      <w:r w:rsidR="003A759E" w:rsidRPr="00DE7940">
        <w:rPr>
          <w:lang w:val="fr-CA"/>
        </w:rPr>
        <w:t>une analyse d</w:t>
      </w:r>
      <w:r w:rsidRPr="00DE7940">
        <w:rPr>
          <w:lang w:val="fr-CA"/>
        </w:rPr>
        <w:t>es résultats des projets d</w:t>
      </w:r>
      <w:r w:rsidR="000D794D" w:rsidRPr="00DE7940">
        <w:rPr>
          <w:lang w:val="fr-CA"/>
        </w:rPr>
        <w:t>’</w:t>
      </w:r>
      <w:r w:rsidRPr="00DE7940">
        <w:rPr>
          <w:lang w:val="fr-CA"/>
        </w:rPr>
        <w:t>intégration menés dans le cadre d</w:t>
      </w:r>
      <w:r w:rsidR="000D794D" w:rsidRPr="00DE7940">
        <w:rPr>
          <w:lang w:val="fr-CA"/>
        </w:rPr>
        <w:t>’</w:t>
      </w:r>
      <w:r w:rsidRPr="00DE7940">
        <w:rPr>
          <w:lang w:val="fr-CA"/>
        </w:rPr>
        <w:t>une initiative de partenariat du PNUE et du Programme des Nations Unies pour le développement sur l</w:t>
      </w:r>
      <w:r w:rsidR="000D794D" w:rsidRPr="00DE7940">
        <w:rPr>
          <w:lang w:val="fr-CA"/>
        </w:rPr>
        <w:t>’</w:t>
      </w:r>
      <w:r w:rsidRPr="00DE7940">
        <w:rPr>
          <w:lang w:val="fr-CA"/>
        </w:rPr>
        <w:t xml:space="preserve">intégration de la gestion écologiquement rationnelle des produits chimiques dans les processus de planification du développement </w:t>
      </w:r>
      <w:r w:rsidR="00F65BDB" w:rsidRPr="00DE7940">
        <w:rPr>
          <w:lang w:val="fr-CA"/>
        </w:rPr>
        <w:t>à l</w:t>
      </w:r>
      <w:r w:rsidR="000D794D" w:rsidRPr="00DE7940">
        <w:rPr>
          <w:lang w:val="fr-CA"/>
        </w:rPr>
        <w:t>’</w:t>
      </w:r>
      <w:r w:rsidR="00F65BDB" w:rsidRPr="00DE7940">
        <w:rPr>
          <w:lang w:val="fr-CA"/>
        </w:rPr>
        <w:t>appui de l</w:t>
      </w:r>
      <w:r w:rsidR="000D794D" w:rsidRPr="00DE7940">
        <w:rPr>
          <w:lang w:val="fr-CA"/>
        </w:rPr>
        <w:t>’</w:t>
      </w:r>
      <w:r w:rsidR="00F65BDB" w:rsidRPr="00DE7940">
        <w:rPr>
          <w:lang w:val="fr-CA"/>
        </w:rPr>
        <w:t xml:space="preserve">Approche stratégique </w:t>
      </w:r>
      <w:r w:rsidR="003A759E" w:rsidRPr="00DE7940">
        <w:rPr>
          <w:lang w:val="fr-CA"/>
        </w:rPr>
        <w:t>a</w:t>
      </w:r>
      <w:r w:rsidRPr="00DE7940">
        <w:rPr>
          <w:lang w:val="fr-CA"/>
        </w:rPr>
        <w:t xml:space="preserve"> été </w:t>
      </w:r>
      <w:r w:rsidR="003A759E" w:rsidRPr="00DE7940">
        <w:rPr>
          <w:lang w:val="fr-CA"/>
        </w:rPr>
        <w:t>effectuée</w:t>
      </w:r>
      <w:r w:rsidRPr="00DE7940">
        <w:rPr>
          <w:lang w:val="fr-CA"/>
        </w:rPr>
        <w:t xml:space="preserve"> </w:t>
      </w:r>
      <w:r w:rsidR="003A759E" w:rsidRPr="00DE7940">
        <w:rPr>
          <w:lang w:val="fr-CA"/>
        </w:rPr>
        <w:t>grâce à un</w:t>
      </w:r>
      <w:r w:rsidR="004D4272" w:rsidRPr="00DE7940">
        <w:rPr>
          <w:lang w:val="fr-CA"/>
        </w:rPr>
        <w:t>e aide</w:t>
      </w:r>
      <w:r w:rsidR="003A759E" w:rsidRPr="00DE7940">
        <w:rPr>
          <w:lang w:val="fr-CA"/>
        </w:rPr>
        <w:t xml:space="preserve"> financi</w:t>
      </w:r>
      <w:r w:rsidR="004D4272" w:rsidRPr="00DE7940">
        <w:rPr>
          <w:lang w:val="fr-CA"/>
        </w:rPr>
        <w:t>ère</w:t>
      </w:r>
      <w:r w:rsidR="003A759E" w:rsidRPr="00DE7940">
        <w:rPr>
          <w:lang w:val="fr-CA"/>
        </w:rPr>
        <w:t xml:space="preserve"> du Gouvernement danois.</w:t>
      </w:r>
      <w:r w:rsidR="00524CE1" w:rsidRPr="00DE7940">
        <w:rPr>
          <w:lang w:val="fr-CA"/>
        </w:rPr>
        <w:t xml:space="preserve"> </w:t>
      </w:r>
      <w:r w:rsidR="005C137C" w:rsidRPr="00DE7940">
        <w:rPr>
          <w:lang w:val="fr-CA"/>
        </w:rPr>
        <w:t>D</w:t>
      </w:r>
      <w:r w:rsidR="004D4272" w:rsidRPr="00DE7940">
        <w:rPr>
          <w:lang w:val="fr-CA"/>
        </w:rPr>
        <w:t xml:space="preserve">isponible sur le site Web du PNUE, </w:t>
      </w:r>
      <w:r w:rsidR="005C137C" w:rsidRPr="00DE7940">
        <w:rPr>
          <w:lang w:val="fr-CA"/>
        </w:rPr>
        <w:t xml:space="preserve">cette analyse qui </w:t>
      </w:r>
      <w:r w:rsidR="004D4272" w:rsidRPr="00DE7940">
        <w:rPr>
          <w:lang w:val="fr-CA"/>
        </w:rPr>
        <w:t>donne un bref aperçu de l</w:t>
      </w:r>
      <w:r w:rsidR="000D794D" w:rsidRPr="00DE7940">
        <w:rPr>
          <w:lang w:val="fr-CA"/>
        </w:rPr>
        <w:t>’</w:t>
      </w:r>
      <w:r w:rsidR="004D4272" w:rsidRPr="00DE7940">
        <w:rPr>
          <w:lang w:val="fr-CA"/>
        </w:rPr>
        <w:t>expérience acquise et des leçons apprises à l</w:t>
      </w:r>
      <w:r w:rsidR="000D794D" w:rsidRPr="00DE7940">
        <w:rPr>
          <w:lang w:val="fr-CA"/>
        </w:rPr>
        <w:t>’</w:t>
      </w:r>
      <w:r w:rsidR="004D4272" w:rsidRPr="00DE7940">
        <w:rPr>
          <w:lang w:val="fr-CA"/>
        </w:rPr>
        <w:t>issue de 15 projets de pays</w:t>
      </w:r>
      <w:r w:rsidR="00DE4A44" w:rsidRPr="00DE7940">
        <w:rPr>
          <w:lang w:val="fr-CA"/>
        </w:rPr>
        <w:t xml:space="preserve"> est destinée à aider les pays qui envisagent d</w:t>
      </w:r>
      <w:r w:rsidR="000D794D" w:rsidRPr="00DE7940">
        <w:rPr>
          <w:lang w:val="fr-CA"/>
        </w:rPr>
        <w:t>’</w:t>
      </w:r>
      <w:r w:rsidR="00FF2176" w:rsidRPr="00DE7940">
        <w:rPr>
          <w:lang w:val="fr-CA"/>
        </w:rPr>
        <w:t>entreprendre des activités d</w:t>
      </w:r>
      <w:r w:rsidR="000D794D" w:rsidRPr="00DE7940">
        <w:rPr>
          <w:lang w:val="fr-CA"/>
        </w:rPr>
        <w:t>’</w:t>
      </w:r>
      <w:r w:rsidR="00FF2176" w:rsidRPr="00DE7940">
        <w:rPr>
          <w:lang w:val="fr-CA"/>
        </w:rPr>
        <w:t xml:space="preserve">intégration </w:t>
      </w:r>
      <w:r w:rsidR="00C86E33" w:rsidRPr="00DE7940">
        <w:rPr>
          <w:lang w:val="fr-CA"/>
        </w:rPr>
        <w:t>permettant</w:t>
      </w:r>
      <w:r w:rsidR="00FF2176" w:rsidRPr="00DE7940">
        <w:rPr>
          <w:lang w:val="fr-CA"/>
        </w:rPr>
        <w:t xml:space="preserve"> de renforcer la base financière pour la gestion rationnelle des substances chimiques et </w:t>
      </w:r>
      <w:r w:rsidR="0010779B" w:rsidRPr="00DE7940">
        <w:rPr>
          <w:lang w:val="fr-CA"/>
        </w:rPr>
        <w:t xml:space="preserve">des </w:t>
      </w:r>
      <w:r w:rsidR="00FF2176" w:rsidRPr="00DE7940">
        <w:rPr>
          <w:lang w:val="fr-CA"/>
        </w:rPr>
        <w:t xml:space="preserve">déchets en </w:t>
      </w:r>
      <w:r w:rsidR="005E415F" w:rsidRPr="00DE7940">
        <w:rPr>
          <w:lang w:val="fr-CA"/>
        </w:rPr>
        <w:t xml:space="preserve">leur </w:t>
      </w:r>
      <w:r w:rsidR="00C86E33" w:rsidRPr="00DE7940">
        <w:rPr>
          <w:lang w:val="fr-CA"/>
        </w:rPr>
        <w:t>fournissant des informations et des connaissances</w:t>
      </w:r>
      <w:r w:rsidR="005E415F" w:rsidRPr="00DE7940">
        <w:rPr>
          <w:lang w:val="fr-CA"/>
        </w:rPr>
        <w:t xml:space="preserve"> sur les défis et opportunités se présentant lors de la mise en œuvre</w:t>
      </w:r>
      <w:r w:rsidR="00D01724" w:rsidRPr="00DE7940">
        <w:rPr>
          <w:lang w:val="fr-CA"/>
        </w:rPr>
        <w:t>.</w:t>
      </w:r>
      <w:r w:rsidR="005E415F" w:rsidRPr="00DE7940">
        <w:rPr>
          <w:lang w:val="fr-CA"/>
        </w:rPr>
        <w:t xml:space="preserve"> </w:t>
      </w:r>
      <w:r w:rsidR="00D01724" w:rsidRPr="00DE7940">
        <w:rPr>
          <w:lang w:val="fr-CA"/>
        </w:rPr>
        <w:t>D</w:t>
      </w:r>
      <w:r w:rsidR="005E415F" w:rsidRPr="00DE7940">
        <w:rPr>
          <w:lang w:val="fr-CA"/>
        </w:rPr>
        <w:t>es informations plus détaillées sur ces expériences acquises et leçons apprises sont disponibles dans le rapport du Directeur exécutif sur la mise en œuvre de l</w:t>
      </w:r>
      <w:r w:rsidR="000D794D" w:rsidRPr="00DE7940">
        <w:rPr>
          <w:lang w:val="fr-CA"/>
        </w:rPr>
        <w:t>’</w:t>
      </w:r>
      <w:r w:rsidR="005E415F" w:rsidRPr="00DE7940">
        <w:rPr>
          <w:lang w:val="fr-CA"/>
        </w:rPr>
        <w:t>approche intégrée pour le financement de la gestion rationnelle des produits chimiques et des déchets</w:t>
      </w:r>
      <w:r w:rsidR="007A4C92" w:rsidRPr="00DE7940">
        <w:rPr>
          <w:lang w:val="fr-CA"/>
        </w:rPr>
        <w:t xml:space="preserve"> (UNEA/EA</w:t>
      </w:r>
      <w:r w:rsidR="00342F88" w:rsidRPr="00DE7940">
        <w:rPr>
          <w:lang w:val="fr-CA"/>
        </w:rPr>
        <w:t>.</w:t>
      </w:r>
      <w:r w:rsidR="007A4C92" w:rsidRPr="00DE7940">
        <w:rPr>
          <w:lang w:val="fr-CA"/>
        </w:rPr>
        <w:t>2/INF</w:t>
      </w:r>
      <w:r w:rsidR="000D794D" w:rsidRPr="00DE7940">
        <w:rPr>
          <w:b/>
          <w:lang w:val="fr-CA"/>
        </w:rPr>
        <w:t>/</w:t>
      </w:r>
      <w:r w:rsidR="000D794D" w:rsidRPr="00DE7940">
        <w:rPr>
          <w:lang w:val="fr-CA"/>
        </w:rPr>
        <w:t>18</w:t>
      </w:r>
      <w:r w:rsidR="007A4C92" w:rsidRPr="00DE7940">
        <w:rPr>
          <w:b/>
          <w:lang w:val="fr-CA"/>
        </w:rPr>
        <w:t>).</w:t>
      </w:r>
    </w:p>
    <w:p w:rsidR="00524CE1" w:rsidRPr="00DE7940" w:rsidRDefault="0010779B" w:rsidP="0010779B">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Toujours à l</w:t>
      </w:r>
      <w:r w:rsidR="000D794D" w:rsidRPr="00DE7940">
        <w:rPr>
          <w:lang w:val="fr-CA"/>
        </w:rPr>
        <w:t>’</w:t>
      </w:r>
      <w:r w:rsidRPr="00DE7940">
        <w:rPr>
          <w:lang w:val="fr-CA"/>
        </w:rPr>
        <w:t>appui d</w:t>
      </w:r>
      <w:r w:rsidR="00F248EE" w:rsidRPr="00DE7940">
        <w:rPr>
          <w:lang w:val="fr-CA"/>
        </w:rPr>
        <w:t>u volet</w:t>
      </w:r>
      <w:r w:rsidRPr="00DE7940">
        <w:rPr>
          <w:lang w:val="fr-CA"/>
        </w:rPr>
        <w:t xml:space="preserve"> « intégration »</w:t>
      </w:r>
      <w:r w:rsidR="00EF360E">
        <w:rPr>
          <w:lang w:val="fr-CA"/>
        </w:rPr>
        <w:t xml:space="preserve"> </w:t>
      </w:r>
      <w:r w:rsidRPr="00DE7940">
        <w:rPr>
          <w:lang w:val="fr-CA"/>
        </w:rPr>
        <w:t>de l</w:t>
      </w:r>
      <w:r w:rsidR="000D794D" w:rsidRPr="00DE7940">
        <w:rPr>
          <w:lang w:val="fr-CA"/>
        </w:rPr>
        <w:t>’</w:t>
      </w:r>
      <w:r w:rsidRPr="00DE7940">
        <w:rPr>
          <w:lang w:val="fr-CA"/>
        </w:rPr>
        <w:t>Approche stratégique, une intensification des efforts sur les liens entre l</w:t>
      </w:r>
      <w:r w:rsidR="000D794D" w:rsidRPr="00DE7940">
        <w:rPr>
          <w:lang w:val="fr-CA"/>
        </w:rPr>
        <w:t>’</w:t>
      </w:r>
      <w:r w:rsidRPr="00DE7940">
        <w:rPr>
          <w:lang w:val="fr-CA"/>
        </w:rPr>
        <w:t xml:space="preserve">environnement et la santé a été </w:t>
      </w:r>
      <w:r w:rsidR="00F248EE" w:rsidRPr="00DE7940">
        <w:rPr>
          <w:lang w:val="fr-CA"/>
        </w:rPr>
        <w:t>encourag</w:t>
      </w:r>
      <w:r w:rsidRPr="00DE7940">
        <w:rPr>
          <w:lang w:val="fr-CA"/>
        </w:rPr>
        <w:t>ée par le biais de l</w:t>
      </w:r>
      <w:r w:rsidR="000D794D" w:rsidRPr="00DE7940">
        <w:rPr>
          <w:lang w:val="fr-CA"/>
        </w:rPr>
        <w:t>’</w:t>
      </w:r>
      <w:r w:rsidRPr="00DE7940">
        <w:rPr>
          <w:lang w:val="fr-CA"/>
        </w:rPr>
        <w:t>élaboration d</w:t>
      </w:r>
      <w:r w:rsidR="000D794D" w:rsidRPr="00DE7940">
        <w:rPr>
          <w:lang w:val="fr-CA"/>
        </w:rPr>
        <w:t>’</w:t>
      </w:r>
      <w:r w:rsidRPr="00DE7940">
        <w:rPr>
          <w:lang w:val="fr-CA"/>
        </w:rPr>
        <w:t>un projet intitulé « </w:t>
      </w:r>
      <w:proofErr w:type="spellStart"/>
      <w:r w:rsidRPr="00DE7940">
        <w:rPr>
          <w:lang w:val="fr-CA"/>
        </w:rPr>
        <w:t>Integrated</w:t>
      </w:r>
      <w:proofErr w:type="spellEnd"/>
      <w:r w:rsidRPr="00DE7940">
        <w:rPr>
          <w:lang w:val="fr-CA"/>
        </w:rPr>
        <w:t xml:space="preserve"> </w:t>
      </w:r>
      <w:proofErr w:type="spellStart"/>
      <w:r w:rsidRPr="00DE7940">
        <w:rPr>
          <w:lang w:val="fr-CA"/>
        </w:rPr>
        <w:t>Health</w:t>
      </w:r>
      <w:proofErr w:type="spellEnd"/>
      <w:r w:rsidRPr="00DE7940">
        <w:rPr>
          <w:lang w:val="fr-CA"/>
        </w:rPr>
        <w:t xml:space="preserve"> and </w:t>
      </w:r>
      <w:proofErr w:type="spellStart"/>
      <w:r w:rsidRPr="00DE7940">
        <w:rPr>
          <w:lang w:val="fr-CA"/>
        </w:rPr>
        <w:t>Environment</w:t>
      </w:r>
      <w:proofErr w:type="spellEnd"/>
      <w:r w:rsidRPr="00DE7940">
        <w:rPr>
          <w:lang w:val="fr-CA"/>
        </w:rPr>
        <w:t xml:space="preserve"> </w:t>
      </w:r>
      <w:proofErr w:type="spellStart"/>
      <w:r w:rsidRPr="00DE7940">
        <w:rPr>
          <w:lang w:val="fr-CA"/>
        </w:rPr>
        <w:t>Observatories</w:t>
      </w:r>
      <w:proofErr w:type="spellEnd"/>
      <w:r w:rsidRPr="00DE7940">
        <w:rPr>
          <w:lang w:val="fr-CA"/>
        </w:rPr>
        <w:t xml:space="preserve"> and </w:t>
      </w:r>
      <w:proofErr w:type="spellStart"/>
      <w:r w:rsidRPr="00DE7940">
        <w:rPr>
          <w:lang w:val="fr-CA"/>
        </w:rPr>
        <w:t>Legal</w:t>
      </w:r>
      <w:proofErr w:type="spellEnd"/>
      <w:r w:rsidRPr="00DE7940">
        <w:rPr>
          <w:lang w:val="fr-CA"/>
        </w:rPr>
        <w:t xml:space="preserve"> and </w:t>
      </w:r>
      <w:proofErr w:type="spellStart"/>
      <w:r w:rsidRPr="00DE7940">
        <w:rPr>
          <w:lang w:val="fr-CA"/>
        </w:rPr>
        <w:t>Institutional</w:t>
      </w:r>
      <w:proofErr w:type="spellEnd"/>
      <w:r w:rsidRPr="00DE7940">
        <w:rPr>
          <w:lang w:val="fr-CA"/>
        </w:rPr>
        <w:t xml:space="preserve"> </w:t>
      </w:r>
      <w:proofErr w:type="spellStart"/>
      <w:r w:rsidRPr="00DE7940">
        <w:rPr>
          <w:lang w:val="fr-CA"/>
        </w:rPr>
        <w:t>Strengthening</w:t>
      </w:r>
      <w:proofErr w:type="spellEnd"/>
      <w:r w:rsidRPr="00DE7940">
        <w:rPr>
          <w:lang w:val="fr-CA"/>
        </w:rPr>
        <w:t xml:space="preserve"> for the Sound Management of </w:t>
      </w:r>
      <w:proofErr w:type="spellStart"/>
      <w:r w:rsidRPr="00DE7940">
        <w:rPr>
          <w:lang w:val="fr-CA"/>
        </w:rPr>
        <w:t>Chemicals</w:t>
      </w:r>
      <w:proofErr w:type="spellEnd"/>
      <w:r w:rsidRPr="00DE7940">
        <w:rPr>
          <w:lang w:val="fr-CA"/>
        </w:rPr>
        <w:t xml:space="preserve"> </w:t>
      </w:r>
      <w:r w:rsidRPr="00DE7940">
        <w:rPr>
          <w:rFonts w:eastAsia="Arial Unicode MS"/>
          <w:lang w:val="fr-CA"/>
        </w:rPr>
        <w:t>in</w:t>
      </w:r>
      <w:r w:rsidRPr="00DE7940">
        <w:rPr>
          <w:lang w:val="fr-CA"/>
        </w:rPr>
        <w:t xml:space="preserve"> </w:t>
      </w:r>
      <w:proofErr w:type="spellStart"/>
      <w:r w:rsidRPr="00DE7940">
        <w:rPr>
          <w:lang w:val="fr-CA"/>
        </w:rPr>
        <w:t>Africa</w:t>
      </w:r>
      <w:proofErr w:type="spellEnd"/>
      <w:r w:rsidRPr="00DE7940">
        <w:rPr>
          <w:lang w:val="fr-CA"/>
        </w:rPr>
        <w:t> », qui a été approuvé par le Conseil du Fonds pour l</w:t>
      </w:r>
      <w:r w:rsidR="000D794D" w:rsidRPr="00DE7940">
        <w:rPr>
          <w:lang w:val="fr-CA"/>
        </w:rPr>
        <w:t>’</w:t>
      </w:r>
      <w:r w:rsidRPr="00DE7940">
        <w:rPr>
          <w:lang w:val="fr-CA"/>
        </w:rPr>
        <w:t xml:space="preserve">environnement mondial </w:t>
      </w:r>
      <w:r w:rsidR="005661FC" w:rsidRPr="00DE7940">
        <w:rPr>
          <w:lang w:val="fr-CA"/>
        </w:rPr>
        <w:t xml:space="preserve">(FEM) </w:t>
      </w:r>
      <w:r w:rsidRPr="00DE7940">
        <w:rPr>
          <w:lang w:val="fr-CA"/>
        </w:rPr>
        <w:t xml:space="preserve">à sa quarante-huitième </w:t>
      </w:r>
      <w:proofErr w:type="spellStart"/>
      <w:r w:rsidRPr="00DE7940">
        <w:rPr>
          <w:lang w:val="fr-CA"/>
        </w:rPr>
        <w:t>reunion</w:t>
      </w:r>
      <w:proofErr w:type="spellEnd"/>
      <w:r w:rsidRPr="00DE7940">
        <w:rPr>
          <w:lang w:val="fr-CA"/>
        </w:rPr>
        <w:t>, en juin 2015. Il s</w:t>
      </w:r>
      <w:r w:rsidR="000D794D" w:rsidRPr="00DE7940">
        <w:rPr>
          <w:lang w:val="fr-CA"/>
        </w:rPr>
        <w:t>’</w:t>
      </w:r>
      <w:r w:rsidRPr="00DE7940">
        <w:rPr>
          <w:lang w:val="fr-CA"/>
        </w:rPr>
        <w:t>agit d</w:t>
      </w:r>
      <w:r w:rsidR="000D794D" w:rsidRPr="00DE7940">
        <w:rPr>
          <w:lang w:val="fr-CA"/>
        </w:rPr>
        <w:t>’</w:t>
      </w:r>
      <w:r w:rsidRPr="00DE7940">
        <w:rPr>
          <w:lang w:val="fr-CA"/>
        </w:rPr>
        <w:t>un projet complet qui se focalisera sur le renforcement des liens entre le secteur de l</w:t>
      </w:r>
      <w:r w:rsidR="000D794D" w:rsidRPr="00DE7940">
        <w:rPr>
          <w:lang w:val="fr-CA"/>
        </w:rPr>
        <w:t>’</w:t>
      </w:r>
      <w:r w:rsidRPr="00DE7940">
        <w:rPr>
          <w:lang w:val="fr-CA"/>
        </w:rPr>
        <w:t>environnement et celui de la santé aux niveaux local, national et régional dans neuf pays d</w:t>
      </w:r>
      <w:r w:rsidR="000D794D" w:rsidRPr="00DE7940">
        <w:rPr>
          <w:lang w:val="fr-CA"/>
        </w:rPr>
        <w:t>’</w:t>
      </w:r>
      <w:r w:rsidRPr="00DE7940">
        <w:rPr>
          <w:lang w:val="fr-CA"/>
        </w:rPr>
        <w:t>Afrique dans le but d</w:t>
      </w:r>
      <w:r w:rsidR="000D794D" w:rsidRPr="00DE7940">
        <w:rPr>
          <w:lang w:val="fr-CA"/>
        </w:rPr>
        <w:t>’</w:t>
      </w:r>
      <w:r w:rsidRPr="00DE7940">
        <w:rPr>
          <w:lang w:val="fr-CA"/>
        </w:rPr>
        <w:t>intégrer la gestion rationnelle des produits chimiques et des déchets dans les plans de développement et budgets nationaux pour ces deux secteurs.</w:t>
      </w:r>
      <w:r w:rsidR="00524CE1" w:rsidRPr="00DE7940">
        <w:rPr>
          <w:lang w:val="fr-CA"/>
        </w:rPr>
        <w:t xml:space="preserve"> </w:t>
      </w:r>
    </w:p>
    <w:p w:rsidR="00524CE1" w:rsidRPr="00DE7940" w:rsidRDefault="0010779B" w:rsidP="00E731A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lastRenderedPageBreak/>
        <w:t>À l</w:t>
      </w:r>
      <w:r w:rsidR="000D794D" w:rsidRPr="00DE7940">
        <w:rPr>
          <w:lang w:val="fr-CA"/>
        </w:rPr>
        <w:t>’</w:t>
      </w:r>
      <w:r w:rsidRPr="00DE7940">
        <w:rPr>
          <w:lang w:val="fr-CA"/>
        </w:rPr>
        <w:t>échelle plus large du système des Nations Unies, le Groupe de la gestion de l</w:t>
      </w:r>
      <w:r w:rsidR="000D794D" w:rsidRPr="00DE7940">
        <w:rPr>
          <w:lang w:val="fr-CA"/>
        </w:rPr>
        <w:t>’</w:t>
      </w:r>
      <w:r w:rsidRPr="00DE7940">
        <w:rPr>
          <w:lang w:val="fr-CA"/>
        </w:rPr>
        <w:t>environnement du Programme des Nations Unies pour l</w:t>
      </w:r>
      <w:r w:rsidR="000D794D" w:rsidRPr="00DE7940">
        <w:rPr>
          <w:lang w:val="fr-CA"/>
        </w:rPr>
        <w:t>’</w:t>
      </w:r>
      <w:r w:rsidRPr="00DE7940">
        <w:rPr>
          <w:lang w:val="fr-CA"/>
        </w:rPr>
        <w:t xml:space="preserve">environnement a </w:t>
      </w:r>
      <w:r w:rsidR="00926A98" w:rsidRPr="00DE7940">
        <w:rPr>
          <w:lang w:val="fr-CA"/>
        </w:rPr>
        <w:t xml:space="preserve">mis sur pied, en 2014, </w:t>
      </w:r>
      <w:r w:rsidR="002640FE" w:rsidRPr="00DE7940">
        <w:rPr>
          <w:lang w:val="fr-CA"/>
        </w:rPr>
        <w:t xml:space="preserve">un groupe de gestion thématique à durée déterminée </w:t>
      </w:r>
      <w:r w:rsidR="00926A98" w:rsidRPr="00DE7940">
        <w:rPr>
          <w:lang w:val="fr-CA"/>
        </w:rPr>
        <w:t>pour donner davantage de visibilité à la gestion rationnelle des produits chimiques au sein du système.</w:t>
      </w:r>
      <w:r w:rsidR="00524CE1" w:rsidRPr="00DE7940">
        <w:rPr>
          <w:lang w:val="fr-CA"/>
        </w:rPr>
        <w:t xml:space="preserve"> </w:t>
      </w:r>
      <w:r w:rsidR="00E731A1" w:rsidRPr="00DE7940">
        <w:rPr>
          <w:lang w:val="fr-CA"/>
        </w:rPr>
        <w:t>Le but était de promouvoir l</w:t>
      </w:r>
      <w:r w:rsidR="000D794D" w:rsidRPr="00DE7940">
        <w:rPr>
          <w:lang w:val="fr-CA"/>
        </w:rPr>
        <w:t>’</w:t>
      </w:r>
      <w:r w:rsidR="00E731A1" w:rsidRPr="00DE7940">
        <w:rPr>
          <w:lang w:val="fr-CA"/>
        </w:rPr>
        <w:t>intégration de la gestion rationnelle des produits chimiques dans un contexte plus large de planification du développement économique et social et de créer des synergies supplémentaires entre les organisations du système des Nations Unies dans le domaine de la fourniture d</w:t>
      </w:r>
      <w:r w:rsidR="000D794D" w:rsidRPr="00DE7940">
        <w:rPr>
          <w:lang w:val="fr-CA"/>
        </w:rPr>
        <w:t>’</w:t>
      </w:r>
      <w:r w:rsidR="00E731A1" w:rsidRPr="00DE7940">
        <w:rPr>
          <w:lang w:val="fr-CA"/>
        </w:rPr>
        <w:t>aide aux pays pour l</w:t>
      </w:r>
      <w:r w:rsidR="000D794D" w:rsidRPr="00DE7940">
        <w:rPr>
          <w:lang w:val="fr-CA"/>
        </w:rPr>
        <w:t>’</w:t>
      </w:r>
      <w:r w:rsidR="00E731A1" w:rsidRPr="00DE7940">
        <w:rPr>
          <w:lang w:val="fr-CA"/>
        </w:rPr>
        <w:t>exécution d</w:t>
      </w:r>
      <w:r w:rsidR="000D794D" w:rsidRPr="00DE7940">
        <w:rPr>
          <w:lang w:val="fr-CA"/>
        </w:rPr>
        <w:t>’</w:t>
      </w:r>
      <w:r w:rsidR="00E731A1" w:rsidRPr="00DE7940">
        <w:rPr>
          <w:lang w:val="fr-CA"/>
        </w:rPr>
        <w:t>activités destinées à réaliser l</w:t>
      </w:r>
      <w:r w:rsidR="000D794D" w:rsidRPr="00DE7940">
        <w:rPr>
          <w:lang w:val="fr-CA"/>
        </w:rPr>
        <w:t>’</w:t>
      </w:r>
      <w:r w:rsidR="00E731A1" w:rsidRPr="00DE7940">
        <w:rPr>
          <w:lang w:val="fr-CA"/>
        </w:rPr>
        <w:t>objectif de gestion rationnelle des produits chimiques du Sommet mondial pour le développement durable d</w:t>
      </w:r>
      <w:r w:rsidR="000D794D" w:rsidRPr="00DE7940">
        <w:rPr>
          <w:lang w:val="fr-CA"/>
        </w:rPr>
        <w:t>’</w:t>
      </w:r>
      <w:r w:rsidR="00E731A1" w:rsidRPr="00DE7940">
        <w:rPr>
          <w:lang w:val="fr-CA"/>
        </w:rPr>
        <w:t>ici à 2020.</w:t>
      </w:r>
      <w:r w:rsidR="00524CE1" w:rsidRPr="00DE7940">
        <w:rPr>
          <w:lang w:val="fr-CA"/>
        </w:rPr>
        <w:t xml:space="preserve"> </w:t>
      </w:r>
    </w:p>
    <w:p w:rsidR="00524CE1" w:rsidRPr="00DE7940" w:rsidRDefault="00E731A1" w:rsidP="00A90309">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Groupe de la gestion de l</w:t>
      </w:r>
      <w:r w:rsidR="000D794D" w:rsidRPr="00DE7940">
        <w:rPr>
          <w:lang w:val="fr-CA"/>
        </w:rPr>
        <w:t>’</w:t>
      </w:r>
      <w:r w:rsidRPr="00DE7940">
        <w:rPr>
          <w:lang w:val="fr-CA"/>
        </w:rPr>
        <w:t xml:space="preserve">environnement, dans un rapport de synthèse intitulé « United Nations and </w:t>
      </w:r>
      <w:proofErr w:type="spellStart"/>
      <w:r w:rsidRPr="00DE7940">
        <w:rPr>
          <w:lang w:val="fr-CA"/>
        </w:rPr>
        <w:t>sound</w:t>
      </w:r>
      <w:proofErr w:type="spellEnd"/>
      <w:r w:rsidRPr="00DE7940">
        <w:rPr>
          <w:lang w:val="fr-CA"/>
        </w:rPr>
        <w:t xml:space="preserve"> </w:t>
      </w:r>
      <w:proofErr w:type="spellStart"/>
      <w:r w:rsidRPr="00DE7940">
        <w:rPr>
          <w:lang w:val="fr-CA"/>
        </w:rPr>
        <w:t>chemicals</w:t>
      </w:r>
      <w:proofErr w:type="spellEnd"/>
      <w:r w:rsidRPr="00DE7940">
        <w:rPr>
          <w:lang w:val="fr-CA"/>
        </w:rPr>
        <w:t xml:space="preserve"> managem</w:t>
      </w:r>
      <w:r w:rsidR="000D794D" w:rsidRPr="00DE7940">
        <w:rPr>
          <w:lang w:val="fr-CA"/>
        </w:rPr>
        <w:t xml:space="preserve">ent: </w:t>
      </w:r>
      <w:proofErr w:type="spellStart"/>
      <w:r w:rsidR="000D794D" w:rsidRPr="00DE7940">
        <w:rPr>
          <w:lang w:val="fr-CA"/>
        </w:rPr>
        <w:t>coordinating</w:t>
      </w:r>
      <w:proofErr w:type="spellEnd"/>
      <w:r w:rsidR="000D794D" w:rsidRPr="00DE7940">
        <w:rPr>
          <w:lang w:val="fr-CA"/>
        </w:rPr>
        <w:t xml:space="preserve"> </w:t>
      </w:r>
      <w:proofErr w:type="spellStart"/>
      <w:r w:rsidR="000D794D" w:rsidRPr="00DE7940">
        <w:rPr>
          <w:lang w:val="fr-CA"/>
        </w:rPr>
        <w:t>delivery</w:t>
      </w:r>
      <w:proofErr w:type="spellEnd"/>
      <w:r w:rsidR="000D794D" w:rsidRPr="00DE7940">
        <w:rPr>
          <w:lang w:val="fr-CA"/>
        </w:rPr>
        <w:t xml:space="preserve"> for </w:t>
      </w:r>
      <w:proofErr w:type="spellStart"/>
      <w:r w:rsidR="000D794D" w:rsidRPr="00DE7940">
        <w:rPr>
          <w:lang w:val="fr-CA"/>
        </w:rPr>
        <w:t>M</w:t>
      </w:r>
      <w:r w:rsidRPr="00DE7940">
        <w:rPr>
          <w:lang w:val="fr-CA"/>
        </w:rPr>
        <w:t>ember</w:t>
      </w:r>
      <w:proofErr w:type="spellEnd"/>
      <w:r w:rsidRPr="00DE7940">
        <w:rPr>
          <w:lang w:val="fr-CA"/>
        </w:rPr>
        <w:t xml:space="preserve"> States and </w:t>
      </w:r>
      <w:proofErr w:type="spellStart"/>
      <w:r w:rsidRPr="00DE7940">
        <w:rPr>
          <w:lang w:val="fr-CA"/>
        </w:rPr>
        <w:t>sustainable</w:t>
      </w:r>
      <w:proofErr w:type="spellEnd"/>
      <w:r w:rsidRPr="00DE7940">
        <w:rPr>
          <w:lang w:val="fr-CA"/>
        </w:rPr>
        <w:t xml:space="preserve"> </w:t>
      </w:r>
      <w:proofErr w:type="spellStart"/>
      <w:r w:rsidRPr="00DE7940">
        <w:rPr>
          <w:lang w:val="fr-CA"/>
        </w:rPr>
        <w:t>development</w:t>
      </w:r>
      <w:proofErr w:type="spellEnd"/>
      <w:r w:rsidRPr="00DE7940">
        <w:rPr>
          <w:lang w:val="fr-CA"/>
        </w:rPr>
        <w:t> », souligne l</w:t>
      </w:r>
      <w:r w:rsidR="000D794D" w:rsidRPr="00DE7940">
        <w:rPr>
          <w:lang w:val="fr-CA"/>
        </w:rPr>
        <w:t>’</w:t>
      </w:r>
      <w:r w:rsidRPr="00DE7940">
        <w:rPr>
          <w:lang w:val="fr-CA"/>
        </w:rPr>
        <w:t xml:space="preserve">importance revêtue par la gestion rationnelle des produits chimiques dans le cadre plus large du programme de développement durable, </w:t>
      </w:r>
      <w:r w:rsidR="00A90309" w:rsidRPr="00DE7940">
        <w:rPr>
          <w:lang w:val="fr-CA"/>
        </w:rPr>
        <w:t>expose</w:t>
      </w:r>
      <w:r w:rsidRPr="00DE7940">
        <w:rPr>
          <w:lang w:val="fr-CA"/>
        </w:rPr>
        <w:t xml:space="preserve"> ce qui a déjà été accompli, et indique comment le système des Nati</w:t>
      </w:r>
      <w:r w:rsidR="00EF360E">
        <w:rPr>
          <w:lang w:val="fr-CA"/>
        </w:rPr>
        <w:t>ons Unies peut aider les États M</w:t>
      </w:r>
      <w:r w:rsidRPr="00DE7940">
        <w:rPr>
          <w:lang w:val="fr-CA"/>
        </w:rPr>
        <w:t xml:space="preserve">embres </w:t>
      </w:r>
      <w:r w:rsidR="00A90309" w:rsidRPr="00DE7940">
        <w:rPr>
          <w:lang w:val="fr-CA"/>
        </w:rPr>
        <w:t xml:space="preserve">plus avant </w:t>
      </w:r>
      <w:r w:rsidRPr="00DE7940">
        <w:rPr>
          <w:lang w:val="fr-CA"/>
        </w:rPr>
        <w:t xml:space="preserve">à </w:t>
      </w:r>
      <w:r w:rsidR="00A90309" w:rsidRPr="00DE7940">
        <w:rPr>
          <w:lang w:val="fr-CA"/>
        </w:rPr>
        <w:t>parvenir</w:t>
      </w:r>
      <w:r w:rsidRPr="00DE7940">
        <w:rPr>
          <w:lang w:val="fr-CA"/>
        </w:rPr>
        <w:t xml:space="preserve"> à </w:t>
      </w:r>
      <w:r w:rsidR="00A90309" w:rsidRPr="00DE7940">
        <w:rPr>
          <w:lang w:val="fr-CA"/>
        </w:rPr>
        <w:t>une</w:t>
      </w:r>
      <w:r w:rsidRPr="00DE7940">
        <w:rPr>
          <w:lang w:val="fr-CA"/>
        </w:rPr>
        <w:t xml:space="preserve"> gestion rationnelle des produits chimiques dans le contexte d</w:t>
      </w:r>
      <w:r w:rsidR="00A90309" w:rsidRPr="00DE7940">
        <w:rPr>
          <w:lang w:val="fr-CA"/>
        </w:rPr>
        <w:t>u</w:t>
      </w:r>
      <w:r w:rsidRPr="00DE7940">
        <w:rPr>
          <w:lang w:val="fr-CA"/>
        </w:rPr>
        <w:t xml:space="preserve"> développement durable.</w:t>
      </w:r>
      <w:r w:rsidR="00524CE1" w:rsidRPr="00DE7940">
        <w:rPr>
          <w:lang w:val="fr-CA"/>
        </w:rPr>
        <w:t xml:space="preserve"> </w:t>
      </w:r>
      <w:r w:rsidR="00A90309" w:rsidRPr="00DE7940">
        <w:rPr>
          <w:lang w:val="fr-CA"/>
        </w:rPr>
        <w:t>Le rapport fournit aux pays des orientations et des exemples de meilleures pratiques sur la manière d</w:t>
      </w:r>
      <w:r w:rsidR="000D794D" w:rsidRPr="00DE7940">
        <w:rPr>
          <w:lang w:val="fr-CA"/>
        </w:rPr>
        <w:t>’</w:t>
      </w:r>
      <w:r w:rsidR="00A90309" w:rsidRPr="00DE7940">
        <w:rPr>
          <w:lang w:val="fr-CA"/>
        </w:rPr>
        <w:t>intégrer avec succès la gestion rationnelle des produits chimiques et des déchets aux plans de développement nationaux.</w:t>
      </w:r>
    </w:p>
    <w:p w:rsidR="00524CE1" w:rsidRPr="00DE7940" w:rsidRDefault="00524CE1" w:rsidP="00A90309">
      <w:pPr>
        <w:pStyle w:val="CH2"/>
        <w:rPr>
          <w:bCs/>
          <w:iCs/>
          <w:lang w:val="fr-CA"/>
        </w:rPr>
      </w:pPr>
      <w:r w:rsidRPr="00DE7940">
        <w:rPr>
          <w:bCs/>
          <w:iCs/>
          <w:lang w:val="fr-CA"/>
        </w:rPr>
        <w:tab/>
      </w:r>
      <w:r w:rsidR="00A90309" w:rsidRPr="00DE7940">
        <w:rPr>
          <w:bCs/>
          <w:iCs/>
          <w:lang w:val="fr-CA"/>
        </w:rPr>
        <w:t>C.</w:t>
      </w:r>
      <w:r w:rsidRPr="00DE7940">
        <w:rPr>
          <w:bCs/>
          <w:iCs/>
          <w:lang w:val="fr-CA"/>
        </w:rPr>
        <w:tab/>
      </w:r>
      <w:r w:rsidR="00A90309" w:rsidRPr="00DE7940">
        <w:rPr>
          <w:bCs/>
          <w:iCs/>
          <w:lang w:val="fr-CA"/>
        </w:rPr>
        <w:t>Participation de l</w:t>
      </w:r>
      <w:r w:rsidR="000D794D" w:rsidRPr="00DE7940">
        <w:rPr>
          <w:bCs/>
          <w:iCs/>
          <w:lang w:val="fr-CA"/>
        </w:rPr>
        <w:t>’</w:t>
      </w:r>
      <w:r w:rsidR="00A90309" w:rsidRPr="00DE7940">
        <w:rPr>
          <w:bCs/>
          <w:iCs/>
          <w:lang w:val="fr-CA"/>
        </w:rPr>
        <w:t>industrie</w:t>
      </w:r>
    </w:p>
    <w:p w:rsidR="00524CE1" w:rsidRPr="00DE7940" w:rsidRDefault="00A90309" w:rsidP="007E5890">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Avec l</w:t>
      </w:r>
      <w:r w:rsidR="000D794D" w:rsidRPr="00DE7940">
        <w:rPr>
          <w:lang w:val="fr-CA"/>
        </w:rPr>
        <w:t>’</w:t>
      </w:r>
      <w:r w:rsidRPr="00DE7940">
        <w:rPr>
          <w:lang w:val="fr-CA"/>
        </w:rPr>
        <w:t>appui du Gouvernement suédois, le PNUE</w:t>
      </w:r>
      <w:r w:rsidR="00386320" w:rsidRPr="00DE7940">
        <w:rPr>
          <w:lang w:val="fr-CA"/>
        </w:rPr>
        <w:t xml:space="preserve"> a élaboré des orientations pour la gestion rationnelle des produits chimiques s</w:t>
      </w:r>
      <w:r w:rsidR="000D794D" w:rsidRPr="00DE7940">
        <w:rPr>
          <w:lang w:val="fr-CA"/>
        </w:rPr>
        <w:t>’</w:t>
      </w:r>
      <w:r w:rsidR="00386320" w:rsidRPr="00DE7940">
        <w:rPr>
          <w:lang w:val="fr-CA"/>
        </w:rPr>
        <w:t>intitulant « G</w:t>
      </w:r>
      <w:hyperlink r:id="rId12">
        <w:r w:rsidR="00386320" w:rsidRPr="00DE7940">
          <w:rPr>
            <w:lang w:val="fr-CA"/>
          </w:rPr>
          <w:t xml:space="preserve">uidance on </w:t>
        </w:r>
        <w:proofErr w:type="spellStart"/>
        <w:r w:rsidR="00386320" w:rsidRPr="00DE7940">
          <w:rPr>
            <w:lang w:val="fr-CA"/>
          </w:rPr>
          <w:t>development</w:t>
        </w:r>
        <w:proofErr w:type="spellEnd"/>
        <w:r w:rsidR="00386320" w:rsidRPr="00DE7940">
          <w:rPr>
            <w:lang w:val="fr-CA"/>
          </w:rPr>
          <w:t xml:space="preserve"> of </w:t>
        </w:r>
        <w:proofErr w:type="spellStart"/>
        <w:r w:rsidR="00386320" w:rsidRPr="00DE7940">
          <w:rPr>
            <w:lang w:val="fr-CA"/>
          </w:rPr>
          <w:t>legislation</w:t>
        </w:r>
        <w:proofErr w:type="spellEnd"/>
        <w:r w:rsidR="00386320" w:rsidRPr="00DE7940">
          <w:rPr>
            <w:lang w:val="fr-CA"/>
          </w:rPr>
          <w:t xml:space="preserve">, administrative infrastructures and </w:t>
        </w:r>
        <w:proofErr w:type="spellStart"/>
        <w:r w:rsidR="00386320" w:rsidRPr="00DE7940">
          <w:rPr>
            <w:lang w:val="fr-CA"/>
          </w:rPr>
          <w:t>recovery</w:t>
        </w:r>
        <w:proofErr w:type="spellEnd"/>
        <w:r w:rsidR="00386320" w:rsidRPr="00DE7940">
          <w:rPr>
            <w:lang w:val="fr-CA"/>
          </w:rPr>
          <w:t xml:space="preserve"> of administrative </w:t>
        </w:r>
        <w:proofErr w:type="spellStart"/>
        <w:r w:rsidR="00386320" w:rsidRPr="00DE7940">
          <w:rPr>
            <w:lang w:val="fr-CA"/>
          </w:rPr>
          <w:t>costs</w:t>
        </w:r>
        <w:proofErr w:type="spellEnd"/>
      </w:hyperlink>
      <w:r w:rsidR="00386320" w:rsidRPr="00DE7940">
        <w:rPr>
          <w:lang w:val="fr-CA"/>
        </w:rPr>
        <w:t> », dans lesquelles se trouvent des propositions pour obtenir la participation de l</w:t>
      </w:r>
      <w:r w:rsidR="000D794D" w:rsidRPr="00DE7940">
        <w:rPr>
          <w:lang w:val="fr-CA"/>
        </w:rPr>
        <w:t>’</w:t>
      </w:r>
      <w:r w:rsidR="00386320" w:rsidRPr="00DE7940">
        <w:rPr>
          <w:lang w:val="fr-CA"/>
        </w:rPr>
        <w:t>industrie dans le cadre d</w:t>
      </w:r>
      <w:r w:rsidR="000D794D" w:rsidRPr="00DE7940">
        <w:rPr>
          <w:lang w:val="fr-CA"/>
        </w:rPr>
        <w:t>’</w:t>
      </w:r>
      <w:r w:rsidR="00386320" w:rsidRPr="00DE7940">
        <w:rPr>
          <w:lang w:val="fr-CA"/>
        </w:rPr>
        <w:t>une approche intégrée du financement mettant l</w:t>
      </w:r>
      <w:r w:rsidR="000D794D" w:rsidRPr="00DE7940">
        <w:rPr>
          <w:lang w:val="fr-CA"/>
        </w:rPr>
        <w:t>’</w:t>
      </w:r>
      <w:r w:rsidR="00386320" w:rsidRPr="00DE7940">
        <w:rPr>
          <w:lang w:val="fr-CA"/>
        </w:rPr>
        <w:t>accent sur le partage des responsabilités et l</w:t>
      </w:r>
      <w:r w:rsidR="000D794D" w:rsidRPr="00DE7940">
        <w:rPr>
          <w:lang w:val="fr-CA"/>
        </w:rPr>
        <w:t>’</w:t>
      </w:r>
      <w:r w:rsidR="00386320" w:rsidRPr="00DE7940">
        <w:rPr>
          <w:lang w:val="fr-CA"/>
        </w:rPr>
        <w:t>utilisation de mesures de recouvrement des coûts pour aider les administrations nationales à mettre en œuvre la législation sur les produits chimiques et en assurer le respect.</w:t>
      </w:r>
      <w:r w:rsidR="00524CE1" w:rsidRPr="00DE7940">
        <w:rPr>
          <w:lang w:val="fr-CA"/>
        </w:rPr>
        <w:t xml:space="preserve"> </w:t>
      </w:r>
      <w:r w:rsidR="007E5890" w:rsidRPr="00DE7940">
        <w:rPr>
          <w:lang w:val="fr-CA"/>
        </w:rPr>
        <w:t>Ce document a été utilisé au cours d</w:t>
      </w:r>
      <w:r w:rsidR="000D794D" w:rsidRPr="00DE7940">
        <w:rPr>
          <w:lang w:val="fr-CA"/>
        </w:rPr>
        <w:t>’</w:t>
      </w:r>
      <w:r w:rsidR="007E5890" w:rsidRPr="00DE7940">
        <w:rPr>
          <w:lang w:val="fr-CA"/>
        </w:rPr>
        <w:t>un certain nombre de manifestations nationales</w:t>
      </w:r>
      <w:r w:rsidR="005C137C" w:rsidRPr="00DE7940">
        <w:rPr>
          <w:lang w:val="fr-CA"/>
        </w:rPr>
        <w:t>, r</w:t>
      </w:r>
      <w:r w:rsidR="007E5890" w:rsidRPr="00DE7940">
        <w:rPr>
          <w:lang w:val="fr-CA"/>
        </w:rPr>
        <w:t>égionales et internationales pour mettre en évidence les avantages que la participation de l</w:t>
      </w:r>
      <w:r w:rsidR="000D794D" w:rsidRPr="00DE7940">
        <w:rPr>
          <w:lang w:val="fr-CA"/>
        </w:rPr>
        <w:t>’</w:t>
      </w:r>
      <w:r w:rsidR="007E5890" w:rsidRPr="00DE7940">
        <w:rPr>
          <w:lang w:val="fr-CA"/>
        </w:rPr>
        <w:t>industrie apporte à la gestion rationnelle des produits chimiques.</w:t>
      </w:r>
      <w:r w:rsidR="00524CE1" w:rsidRPr="00DE7940">
        <w:rPr>
          <w:lang w:val="fr-CA"/>
        </w:rPr>
        <w:t xml:space="preserve"> </w:t>
      </w:r>
    </w:p>
    <w:p w:rsidR="00524CE1" w:rsidRPr="00DE7940" w:rsidRDefault="007E5890" w:rsidP="007E5890">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Pour faciliter la participation de l</w:t>
      </w:r>
      <w:r w:rsidR="000D794D" w:rsidRPr="00DE7940">
        <w:rPr>
          <w:lang w:val="fr-CA"/>
        </w:rPr>
        <w:t>’</w:t>
      </w:r>
      <w:r w:rsidRPr="00DE7940">
        <w:rPr>
          <w:lang w:val="fr-CA"/>
        </w:rPr>
        <w:t>industrie dans la région de l</w:t>
      </w:r>
      <w:r w:rsidR="000D794D" w:rsidRPr="00DE7940">
        <w:rPr>
          <w:lang w:val="fr-CA"/>
        </w:rPr>
        <w:t>’</w:t>
      </w:r>
      <w:r w:rsidRPr="00DE7940">
        <w:rPr>
          <w:lang w:val="fr-CA"/>
        </w:rPr>
        <w:t>Afrique et dans celle de l</w:t>
      </w:r>
      <w:r w:rsidR="000D794D" w:rsidRPr="00DE7940">
        <w:rPr>
          <w:lang w:val="fr-CA"/>
        </w:rPr>
        <w:t>’</w:t>
      </w:r>
      <w:r w:rsidRPr="00DE7940">
        <w:rPr>
          <w:lang w:val="fr-CA"/>
        </w:rPr>
        <w:t>Asie et du Pacifique, le PNUE a organisé, avec le soutie</w:t>
      </w:r>
      <w:r w:rsidR="007B4A87">
        <w:rPr>
          <w:lang w:val="fr-CA"/>
        </w:rPr>
        <w:t>n du Gouvernement suédois, deux </w:t>
      </w:r>
      <w:r w:rsidRPr="00DE7940">
        <w:rPr>
          <w:lang w:val="fr-CA"/>
        </w:rPr>
        <w:t>ateliers régionaux de sensibilisation des gouvernements et de l</w:t>
      </w:r>
      <w:r w:rsidR="000D794D" w:rsidRPr="00DE7940">
        <w:rPr>
          <w:lang w:val="fr-CA"/>
        </w:rPr>
        <w:t>’</w:t>
      </w:r>
      <w:r w:rsidRPr="00DE7940">
        <w:rPr>
          <w:lang w:val="fr-CA"/>
        </w:rPr>
        <w:t>industrie portant sur les sujets suivants :</w:t>
      </w:r>
      <w:r w:rsidR="00524CE1" w:rsidRPr="00DE7940">
        <w:rPr>
          <w:lang w:val="fr-CA"/>
        </w:rPr>
        <w:t xml:space="preserve"> </w:t>
      </w:r>
    </w:p>
    <w:p w:rsidR="00524CE1" w:rsidRPr="00DE7940" w:rsidRDefault="00F248EE" w:rsidP="0099291F">
      <w:pPr>
        <w:pStyle w:val="Normalnumber"/>
        <w:numPr>
          <w:ilvl w:val="0"/>
          <w:numId w:val="40"/>
        </w:numPr>
        <w:tabs>
          <w:tab w:val="clear" w:pos="1247"/>
          <w:tab w:val="clear" w:pos="1814"/>
          <w:tab w:val="clear" w:pos="2381"/>
          <w:tab w:val="clear" w:pos="2948"/>
          <w:tab w:val="clear" w:pos="3515"/>
          <w:tab w:val="clear" w:pos="4082"/>
          <w:tab w:val="left" w:pos="624"/>
        </w:tabs>
        <w:ind w:left="1248" w:firstLine="624"/>
        <w:rPr>
          <w:lang w:val="fr-CA"/>
        </w:rPr>
      </w:pPr>
      <w:r w:rsidRPr="00DE7940">
        <w:rPr>
          <w:lang w:val="fr-CA"/>
        </w:rPr>
        <w:t>Les implications de la participation de l</w:t>
      </w:r>
      <w:r w:rsidR="000D794D" w:rsidRPr="00DE7940">
        <w:rPr>
          <w:lang w:val="fr-CA"/>
        </w:rPr>
        <w:t>’</w:t>
      </w:r>
      <w:r w:rsidRPr="00DE7940">
        <w:rPr>
          <w:lang w:val="fr-CA"/>
        </w:rPr>
        <w:t>industrie à l</w:t>
      </w:r>
      <w:r w:rsidR="000D794D" w:rsidRPr="00DE7940">
        <w:rPr>
          <w:lang w:val="fr-CA"/>
        </w:rPr>
        <w:t>’</w:t>
      </w:r>
      <w:r w:rsidRPr="00DE7940">
        <w:rPr>
          <w:lang w:val="fr-CA"/>
        </w:rPr>
        <w:t>approche intégrée;</w:t>
      </w:r>
    </w:p>
    <w:p w:rsidR="00524CE1" w:rsidRPr="00DE7940" w:rsidRDefault="00F248EE" w:rsidP="0099291F">
      <w:pPr>
        <w:pStyle w:val="Normalnumber"/>
        <w:numPr>
          <w:ilvl w:val="0"/>
          <w:numId w:val="40"/>
        </w:numPr>
        <w:tabs>
          <w:tab w:val="clear" w:pos="1247"/>
          <w:tab w:val="clear" w:pos="1814"/>
          <w:tab w:val="clear" w:pos="2381"/>
          <w:tab w:val="clear" w:pos="2948"/>
          <w:tab w:val="clear" w:pos="3515"/>
          <w:tab w:val="clear" w:pos="4082"/>
          <w:tab w:val="left" w:pos="624"/>
        </w:tabs>
        <w:ind w:left="1248" w:firstLine="624"/>
        <w:rPr>
          <w:lang w:val="fr-CA"/>
        </w:rPr>
      </w:pPr>
      <w:r w:rsidRPr="00DE7940">
        <w:rPr>
          <w:lang w:val="fr-CA"/>
        </w:rPr>
        <w:t>Les avantages et la nécessité de la participation de l</w:t>
      </w:r>
      <w:r w:rsidR="000D794D" w:rsidRPr="00DE7940">
        <w:rPr>
          <w:lang w:val="fr-CA"/>
        </w:rPr>
        <w:t>’</w:t>
      </w:r>
      <w:r w:rsidRPr="00DE7940">
        <w:rPr>
          <w:lang w:val="fr-CA"/>
        </w:rPr>
        <w:t>industrie à la gestion rationnelle des produits chimiques et des déchets;</w:t>
      </w:r>
      <w:r w:rsidR="00524CE1" w:rsidRPr="00DE7940">
        <w:rPr>
          <w:lang w:val="fr-CA"/>
        </w:rPr>
        <w:t xml:space="preserve"> </w:t>
      </w:r>
    </w:p>
    <w:p w:rsidR="00524CE1" w:rsidRPr="00DE7940" w:rsidRDefault="00F248EE" w:rsidP="0099291F">
      <w:pPr>
        <w:pStyle w:val="Normalnumber"/>
        <w:numPr>
          <w:ilvl w:val="0"/>
          <w:numId w:val="40"/>
        </w:numPr>
        <w:tabs>
          <w:tab w:val="clear" w:pos="1247"/>
          <w:tab w:val="clear" w:pos="1814"/>
          <w:tab w:val="clear" w:pos="2381"/>
          <w:tab w:val="clear" w:pos="2948"/>
          <w:tab w:val="clear" w:pos="3515"/>
          <w:tab w:val="clear" w:pos="4082"/>
          <w:tab w:val="left" w:pos="624"/>
        </w:tabs>
        <w:ind w:left="1248" w:firstLine="624"/>
        <w:rPr>
          <w:lang w:val="fr-CA"/>
        </w:rPr>
      </w:pPr>
      <w:r w:rsidRPr="00DE7940">
        <w:rPr>
          <w:lang w:val="fr-CA"/>
        </w:rPr>
        <w:t>La contribution de la participation de l</w:t>
      </w:r>
      <w:r w:rsidR="000D794D" w:rsidRPr="00DE7940">
        <w:rPr>
          <w:lang w:val="fr-CA"/>
        </w:rPr>
        <w:t>’</w:t>
      </w:r>
      <w:r w:rsidRPr="00DE7940">
        <w:rPr>
          <w:lang w:val="fr-CA"/>
        </w:rPr>
        <w:t>industrie au financement à long terme au niveau national;</w:t>
      </w:r>
      <w:r w:rsidR="00524CE1" w:rsidRPr="00DE7940">
        <w:rPr>
          <w:lang w:val="fr-CA"/>
        </w:rPr>
        <w:t xml:space="preserve"> </w:t>
      </w:r>
    </w:p>
    <w:p w:rsidR="00524CE1" w:rsidRPr="00DE7940" w:rsidRDefault="00F248EE" w:rsidP="0099291F">
      <w:pPr>
        <w:pStyle w:val="Normalnumber"/>
        <w:numPr>
          <w:ilvl w:val="0"/>
          <w:numId w:val="40"/>
        </w:numPr>
        <w:tabs>
          <w:tab w:val="clear" w:pos="1247"/>
          <w:tab w:val="clear" w:pos="1814"/>
          <w:tab w:val="clear" w:pos="2381"/>
          <w:tab w:val="clear" w:pos="2948"/>
          <w:tab w:val="clear" w:pos="3515"/>
          <w:tab w:val="clear" w:pos="4082"/>
          <w:tab w:val="left" w:pos="624"/>
        </w:tabs>
        <w:ind w:left="1248" w:firstLine="624"/>
        <w:rPr>
          <w:lang w:val="fr-CA"/>
        </w:rPr>
      </w:pPr>
      <w:r w:rsidRPr="00DE7940">
        <w:rPr>
          <w:lang w:val="fr-CA"/>
        </w:rPr>
        <w:t>Les questions nécessitant un examen plus poussé, d</w:t>
      </w:r>
      <w:r w:rsidR="000D794D" w:rsidRPr="00DE7940">
        <w:rPr>
          <w:lang w:val="fr-CA"/>
        </w:rPr>
        <w:t>’</w:t>
      </w:r>
      <w:r w:rsidRPr="00DE7940">
        <w:rPr>
          <w:lang w:val="fr-CA"/>
        </w:rPr>
        <w:t>après les débats lors des ateliers.</w:t>
      </w:r>
      <w:r w:rsidR="00524CE1" w:rsidRPr="00DE7940">
        <w:rPr>
          <w:lang w:val="fr-CA"/>
        </w:rPr>
        <w:t xml:space="preserve"> </w:t>
      </w:r>
    </w:p>
    <w:p w:rsidR="00524CE1" w:rsidRPr="00DE7940" w:rsidRDefault="00F20075" w:rsidP="0083568D">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Les participants aux ateliers ont souligné l</w:t>
      </w:r>
      <w:r w:rsidR="000D794D" w:rsidRPr="00DE7940">
        <w:rPr>
          <w:lang w:val="fr-CA"/>
        </w:rPr>
        <w:t>’</w:t>
      </w:r>
      <w:r w:rsidRPr="00DE7940">
        <w:rPr>
          <w:lang w:val="fr-CA"/>
        </w:rPr>
        <w:t xml:space="preserve">importance </w:t>
      </w:r>
      <w:r w:rsidR="005919AB" w:rsidRPr="00DE7940">
        <w:rPr>
          <w:lang w:val="fr-CA"/>
        </w:rPr>
        <w:t>que revêtent</w:t>
      </w:r>
      <w:r w:rsidRPr="00DE7940">
        <w:rPr>
          <w:lang w:val="fr-CA"/>
        </w:rPr>
        <w:t xml:space="preserve"> la participation et la mobilisation de divers secteurs de l</w:t>
      </w:r>
      <w:r w:rsidR="000D794D" w:rsidRPr="00DE7940">
        <w:rPr>
          <w:lang w:val="fr-CA"/>
        </w:rPr>
        <w:t>’</w:t>
      </w:r>
      <w:r w:rsidRPr="00DE7940">
        <w:rPr>
          <w:lang w:val="fr-CA"/>
        </w:rPr>
        <w:t>industrie et d</w:t>
      </w:r>
      <w:r w:rsidR="000D794D" w:rsidRPr="00DE7940">
        <w:rPr>
          <w:lang w:val="fr-CA"/>
        </w:rPr>
        <w:t>’</w:t>
      </w:r>
      <w:r w:rsidRPr="00DE7940">
        <w:rPr>
          <w:lang w:val="fr-CA"/>
        </w:rPr>
        <w:t>autres parties prenantes pour la mise en œuvre réussie du volet industrie de l</w:t>
      </w:r>
      <w:r w:rsidR="000D794D" w:rsidRPr="00DE7940">
        <w:rPr>
          <w:lang w:val="fr-CA"/>
        </w:rPr>
        <w:t>’</w:t>
      </w:r>
      <w:r w:rsidRPr="00DE7940">
        <w:rPr>
          <w:lang w:val="fr-CA"/>
        </w:rPr>
        <w:t>approche intégrée.</w:t>
      </w:r>
      <w:r w:rsidR="00524CE1" w:rsidRPr="00DE7940">
        <w:rPr>
          <w:lang w:val="fr-CA"/>
        </w:rPr>
        <w:t xml:space="preserve"> </w:t>
      </w:r>
      <w:r w:rsidR="005919AB" w:rsidRPr="00DE7940">
        <w:rPr>
          <w:lang w:val="fr-CA"/>
        </w:rPr>
        <w:t>Ils ont également reconnu qu</w:t>
      </w:r>
      <w:r w:rsidR="000D794D" w:rsidRPr="00DE7940">
        <w:rPr>
          <w:lang w:val="fr-CA"/>
        </w:rPr>
        <w:t>’</w:t>
      </w:r>
      <w:r w:rsidR="005919AB" w:rsidRPr="00DE7940">
        <w:rPr>
          <w:lang w:val="fr-CA"/>
        </w:rPr>
        <w:t>il fallait mettre en place un cadre de collaboration pour ces secteurs et pour les autorités publiques et/ou, s</w:t>
      </w:r>
      <w:r w:rsidR="000D794D" w:rsidRPr="00DE7940">
        <w:rPr>
          <w:lang w:val="fr-CA"/>
        </w:rPr>
        <w:t>’</w:t>
      </w:r>
      <w:r w:rsidR="005919AB" w:rsidRPr="00DE7940">
        <w:rPr>
          <w:lang w:val="fr-CA"/>
        </w:rPr>
        <w:t>il en existait déjà un, renforcer celui-ci en vue d</w:t>
      </w:r>
      <w:r w:rsidR="000D794D" w:rsidRPr="00DE7940">
        <w:rPr>
          <w:lang w:val="fr-CA"/>
        </w:rPr>
        <w:t>’</w:t>
      </w:r>
      <w:r w:rsidR="005919AB" w:rsidRPr="00DE7940">
        <w:rPr>
          <w:lang w:val="fr-CA"/>
        </w:rPr>
        <w:t>encourager la gestion rationnelle des produits chimiques et en assurer la durabilité.</w:t>
      </w:r>
      <w:r w:rsidR="00524CE1" w:rsidRPr="00DE7940">
        <w:rPr>
          <w:lang w:val="fr-CA"/>
        </w:rPr>
        <w:t xml:space="preserve"> </w:t>
      </w:r>
      <w:r w:rsidR="005919AB" w:rsidRPr="00DE7940">
        <w:rPr>
          <w:lang w:val="fr-CA"/>
        </w:rPr>
        <w:t>Des informations supplémentaires sur les résultats des ateliers sont disponibles dans le rapport du Directeur exécutif sur la mise en œuvre de l</w:t>
      </w:r>
      <w:r w:rsidR="000D794D" w:rsidRPr="00DE7940">
        <w:rPr>
          <w:lang w:val="fr-CA"/>
        </w:rPr>
        <w:t>’</w:t>
      </w:r>
      <w:r w:rsidR="005919AB" w:rsidRPr="00DE7940">
        <w:rPr>
          <w:lang w:val="fr-CA"/>
        </w:rPr>
        <w:t xml:space="preserve">approche intégrée pour </w:t>
      </w:r>
      <w:r w:rsidR="0083568D" w:rsidRPr="00DE7940">
        <w:rPr>
          <w:lang w:val="fr-CA"/>
        </w:rPr>
        <w:t xml:space="preserve">le financement de </w:t>
      </w:r>
      <w:r w:rsidR="005919AB" w:rsidRPr="00DE7940">
        <w:rPr>
          <w:lang w:val="fr-CA"/>
        </w:rPr>
        <w:t>la gestion rationnelle des produits chimiques et des déchets (UNEA/EA</w:t>
      </w:r>
      <w:r w:rsidR="00342F88" w:rsidRPr="00DE7940">
        <w:rPr>
          <w:lang w:val="fr-CA"/>
        </w:rPr>
        <w:t>.</w:t>
      </w:r>
      <w:r w:rsidR="000D794D" w:rsidRPr="00DE7940">
        <w:rPr>
          <w:lang w:val="fr-CA"/>
        </w:rPr>
        <w:t>2/INF/18</w:t>
      </w:r>
      <w:r w:rsidR="005919AB" w:rsidRPr="00DE7940">
        <w:rPr>
          <w:lang w:val="fr-CA"/>
        </w:rPr>
        <w:t>).</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83568D" w:rsidRPr="00DE7940">
        <w:rPr>
          <w:lang w:val="fr-CA"/>
        </w:rPr>
        <w:t>Développement durable</w:t>
      </w:r>
    </w:p>
    <w:p w:rsidR="00524CE1" w:rsidRPr="00DE7940" w:rsidRDefault="0083568D" w:rsidP="0083568D">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À la première session de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environnement, le</w:t>
      </w:r>
      <w:r w:rsidR="007B4A87">
        <w:rPr>
          <w:bCs/>
          <w:lang w:val="fr-CA"/>
        </w:rPr>
        <w:t>s États M</w:t>
      </w:r>
      <w:r w:rsidRPr="00DE7940">
        <w:rPr>
          <w:bCs/>
          <w:lang w:val="fr-CA"/>
        </w:rPr>
        <w:t>embres ont souligné que la gestion rationnelle des produits chimiques et des déchets était un élément transversal essentiel et incontournable du développement durable et était d</w:t>
      </w:r>
      <w:r w:rsidR="000D794D" w:rsidRPr="00DE7940">
        <w:rPr>
          <w:bCs/>
          <w:lang w:val="fr-CA"/>
        </w:rPr>
        <w:t>’</w:t>
      </w:r>
      <w:r w:rsidRPr="00DE7940">
        <w:rPr>
          <w:bCs/>
          <w:lang w:val="fr-CA"/>
        </w:rPr>
        <w:t>une grande importance pour le programme de développement durable.</w:t>
      </w:r>
    </w:p>
    <w:p w:rsidR="00524CE1" w:rsidRPr="00DE7940" w:rsidRDefault="0083568D" w:rsidP="0083568D">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La gestion rationnelle des produits chimiques et des déchets est liée et contribue à la réalisation de presque tous les objectifs de développement durable, en particulier l</w:t>
      </w:r>
      <w:r w:rsidR="00D01724" w:rsidRPr="00DE7940">
        <w:rPr>
          <w:lang w:val="fr-CA"/>
        </w:rPr>
        <w:t>’</w:t>
      </w:r>
      <w:r w:rsidRPr="00DE7940">
        <w:rPr>
          <w:lang w:val="fr-CA"/>
        </w:rPr>
        <w:t>objectif 3 (santé</w:t>
      </w:r>
      <w:r w:rsidR="00D01724" w:rsidRPr="00DE7940">
        <w:rPr>
          <w:lang w:val="fr-CA"/>
        </w:rPr>
        <w:t xml:space="preserve"> et bien-être</w:t>
      </w:r>
      <w:r w:rsidRPr="00DE7940">
        <w:rPr>
          <w:lang w:val="fr-CA"/>
        </w:rPr>
        <w:t xml:space="preserve">), </w:t>
      </w:r>
      <w:r w:rsidR="00D01724" w:rsidRPr="00DE7940">
        <w:rPr>
          <w:lang w:val="fr-CA"/>
        </w:rPr>
        <w:t>l’objectif </w:t>
      </w:r>
      <w:r w:rsidRPr="00DE7940">
        <w:rPr>
          <w:lang w:val="fr-CA"/>
        </w:rPr>
        <w:t xml:space="preserve">6 (eau potable et assainissement), </w:t>
      </w:r>
      <w:r w:rsidR="00D01724" w:rsidRPr="00DE7940">
        <w:rPr>
          <w:lang w:val="fr-CA"/>
        </w:rPr>
        <w:t>l’objectif </w:t>
      </w:r>
      <w:r w:rsidRPr="00DE7940">
        <w:rPr>
          <w:lang w:val="fr-CA"/>
        </w:rPr>
        <w:t xml:space="preserve">11 (villes </w:t>
      </w:r>
      <w:r w:rsidR="00D01724" w:rsidRPr="00DE7940">
        <w:rPr>
          <w:lang w:val="fr-CA"/>
        </w:rPr>
        <w:t xml:space="preserve">et communautés </w:t>
      </w:r>
      <w:r w:rsidRPr="00DE7940">
        <w:rPr>
          <w:lang w:val="fr-CA"/>
        </w:rPr>
        <w:t xml:space="preserve">durables) et </w:t>
      </w:r>
      <w:r w:rsidR="00D01724" w:rsidRPr="00DE7940">
        <w:rPr>
          <w:lang w:val="fr-CA"/>
        </w:rPr>
        <w:t>l’objectif </w:t>
      </w:r>
      <w:r w:rsidRPr="00DE7940">
        <w:rPr>
          <w:lang w:val="fr-CA"/>
        </w:rPr>
        <w:t xml:space="preserve">12 (consommation et production </w:t>
      </w:r>
      <w:r w:rsidR="00D01724" w:rsidRPr="00DE7940">
        <w:rPr>
          <w:lang w:val="fr-CA"/>
        </w:rPr>
        <w:t>respons</w:t>
      </w:r>
      <w:r w:rsidRPr="00DE7940">
        <w:rPr>
          <w:lang w:val="fr-CA"/>
        </w:rPr>
        <w:t>ables).</w:t>
      </w:r>
      <w:r w:rsidR="00524CE1" w:rsidRPr="00DE7940">
        <w:rPr>
          <w:lang w:val="fr-CA"/>
        </w:rPr>
        <w:t xml:space="preserve">  </w:t>
      </w:r>
    </w:p>
    <w:p w:rsidR="00524CE1" w:rsidRPr="00DE7940" w:rsidRDefault="002A0022" w:rsidP="004A09A2">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lastRenderedPageBreak/>
        <w:t xml:space="preserve">En vue de faire avancer les analyses et actions menées aux niveaux international et national pour </w:t>
      </w:r>
      <w:r w:rsidR="00FA4AE4" w:rsidRPr="00DE7940">
        <w:rPr>
          <w:lang w:val="fr-CA"/>
        </w:rPr>
        <w:t xml:space="preserve">explorer et mettre à profit les synergies découlant de la mise en œuvre des objectifs de développement durable et de celle des accords internationaux sur les produits chimiques et les déchets, le Service Substances chimiques et Déchets de la </w:t>
      </w:r>
      <w:r w:rsidR="00D01724" w:rsidRPr="00DE7940">
        <w:rPr>
          <w:lang w:val="fr-CA"/>
        </w:rPr>
        <w:t xml:space="preserve">DTIE </w:t>
      </w:r>
      <w:r w:rsidR="00FA4AE4" w:rsidRPr="00DE7940">
        <w:rPr>
          <w:lang w:val="fr-CA"/>
        </w:rPr>
        <w:t xml:space="preserve">du PNUE, </w:t>
      </w:r>
      <w:r w:rsidR="005C137C" w:rsidRPr="00DE7940">
        <w:rPr>
          <w:lang w:val="fr-CA"/>
        </w:rPr>
        <w:t>ainsi que</w:t>
      </w:r>
      <w:r w:rsidR="00FA4AE4" w:rsidRPr="00DE7940">
        <w:rPr>
          <w:lang w:val="fr-CA"/>
        </w:rPr>
        <w:t xml:space="preserve"> l</w:t>
      </w:r>
      <w:r w:rsidR="000D794D" w:rsidRPr="00DE7940">
        <w:rPr>
          <w:lang w:val="fr-CA"/>
        </w:rPr>
        <w:t>’</w:t>
      </w:r>
      <w:r w:rsidR="00FA4AE4" w:rsidRPr="00DE7940">
        <w:rPr>
          <w:lang w:val="fr-CA"/>
        </w:rPr>
        <w:t>Approche stratégique de la gestion internationale des produits chimiques, le secrétariat provisoire de la Convention de Minamata, le Secrétariat des conventions de Bâle, de Rotterdam et de Stockholm et l</w:t>
      </w:r>
      <w:r w:rsidR="000D794D" w:rsidRPr="00DE7940">
        <w:rPr>
          <w:lang w:val="fr-CA"/>
        </w:rPr>
        <w:t>’</w:t>
      </w:r>
      <w:r w:rsidR="00FA4AE4" w:rsidRPr="00DE7940">
        <w:rPr>
          <w:lang w:val="fr-CA"/>
        </w:rPr>
        <w:t xml:space="preserve">Institut des Nations Unies pour la formation et la recherche </w:t>
      </w:r>
      <w:r w:rsidR="005661FC" w:rsidRPr="00DE7940">
        <w:rPr>
          <w:lang w:val="fr-CA"/>
        </w:rPr>
        <w:t xml:space="preserve">(UNITAR) </w:t>
      </w:r>
      <w:r w:rsidR="00FA4AE4" w:rsidRPr="00DE7940">
        <w:rPr>
          <w:lang w:val="fr-CA"/>
        </w:rPr>
        <w:t>ont renforcé plus avant leur collaboration</w:t>
      </w:r>
      <w:r w:rsidR="004A09A2" w:rsidRPr="00DE7940">
        <w:rPr>
          <w:lang w:val="fr-CA"/>
        </w:rPr>
        <w:t>.</w:t>
      </w:r>
      <w:r w:rsidR="00524CE1" w:rsidRPr="00DE7940">
        <w:rPr>
          <w:lang w:val="fr-CA"/>
        </w:rPr>
        <w:t xml:space="preserve"> </w:t>
      </w:r>
      <w:r w:rsidR="004A09A2" w:rsidRPr="00DE7940">
        <w:rPr>
          <w:lang w:val="fr-CA"/>
        </w:rPr>
        <w:t xml:space="preserve">Les résultats de la phase initiale de </w:t>
      </w:r>
      <w:r w:rsidR="00D01724" w:rsidRPr="00DE7940">
        <w:rPr>
          <w:lang w:val="fr-CA"/>
        </w:rPr>
        <w:t xml:space="preserve">cette </w:t>
      </w:r>
      <w:r w:rsidR="004A09A2" w:rsidRPr="00DE7940">
        <w:rPr>
          <w:lang w:val="fr-CA"/>
        </w:rPr>
        <w:t>collaboration renforcée sont présentés dans un document d</w:t>
      </w:r>
      <w:r w:rsidR="000D794D" w:rsidRPr="00DE7940">
        <w:rPr>
          <w:lang w:val="fr-CA"/>
        </w:rPr>
        <w:t>’information (UNEA/EA.2/INF/20</w:t>
      </w:r>
      <w:r w:rsidR="004A09A2" w:rsidRPr="00DE7940">
        <w:rPr>
          <w:lang w:val="fr-CA"/>
        </w:rPr>
        <w:t>) montrant à l</w:t>
      </w:r>
      <w:r w:rsidR="000D794D" w:rsidRPr="00DE7940">
        <w:rPr>
          <w:lang w:val="fr-CA"/>
        </w:rPr>
        <w:t>’</w:t>
      </w:r>
      <w:r w:rsidR="004A09A2" w:rsidRPr="00DE7940">
        <w:rPr>
          <w:lang w:val="fr-CA"/>
        </w:rPr>
        <w:t>aide d</w:t>
      </w:r>
      <w:r w:rsidR="000D794D" w:rsidRPr="00DE7940">
        <w:rPr>
          <w:lang w:val="fr-CA"/>
        </w:rPr>
        <w:t>’</w:t>
      </w:r>
      <w:r w:rsidR="004A09A2" w:rsidRPr="00DE7940">
        <w:rPr>
          <w:lang w:val="fr-CA"/>
        </w:rPr>
        <w:t>exemples thématiques comment on peut appuyer les objectifs de développement durable en mettant en œuvre des accords multilatéraux spécifiques sur l</w:t>
      </w:r>
      <w:r w:rsidR="000D794D" w:rsidRPr="00DE7940">
        <w:rPr>
          <w:lang w:val="fr-CA"/>
        </w:rPr>
        <w:t>’</w:t>
      </w:r>
      <w:r w:rsidR="004A09A2" w:rsidRPr="00DE7940">
        <w:rPr>
          <w:lang w:val="fr-CA"/>
        </w:rPr>
        <w:t>environnement et vice-versa.</w:t>
      </w:r>
      <w:r w:rsidR="00524CE1" w:rsidRPr="00DE7940">
        <w:rPr>
          <w:lang w:val="fr-CA"/>
        </w:rPr>
        <w:t xml:space="preserve"> </w:t>
      </w:r>
    </w:p>
    <w:p w:rsidR="00524CE1" w:rsidRPr="00DE7940" w:rsidRDefault="004A09A2" w:rsidP="00DB77E2">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rFonts w:eastAsia="SimSun"/>
          <w:lang w:val="fr-CA"/>
        </w:rPr>
      </w:pPr>
      <w:r w:rsidRPr="00DE7940">
        <w:rPr>
          <w:lang w:val="fr-CA"/>
        </w:rPr>
        <w:t>Les activités organisées dans le cadre de la collaboration ont été, entre autres, l</w:t>
      </w:r>
      <w:r w:rsidR="000D794D" w:rsidRPr="00DE7940">
        <w:rPr>
          <w:lang w:val="fr-CA"/>
        </w:rPr>
        <w:t>’</w:t>
      </w:r>
      <w:r w:rsidRPr="00DE7940">
        <w:rPr>
          <w:lang w:val="fr-CA"/>
        </w:rPr>
        <w:t>analyse initiale de l</w:t>
      </w:r>
      <w:r w:rsidR="000D794D" w:rsidRPr="00DE7940">
        <w:rPr>
          <w:lang w:val="fr-CA"/>
        </w:rPr>
        <w:t>’</w:t>
      </w:r>
      <w:r w:rsidRPr="00DE7940">
        <w:rPr>
          <w:lang w:val="fr-CA"/>
        </w:rPr>
        <w:t>interface entre les objectifs de développement durable et la gestion des produits chimiques et des déchets et l</w:t>
      </w:r>
      <w:r w:rsidR="000D794D" w:rsidRPr="00DE7940">
        <w:rPr>
          <w:lang w:val="fr-CA"/>
        </w:rPr>
        <w:t>’</w:t>
      </w:r>
      <w:r w:rsidRPr="00DE7940">
        <w:rPr>
          <w:lang w:val="fr-CA"/>
        </w:rPr>
        <w:t>élaboration de documents d</w:t>
      </w:r>
      <w:r w:rsidR="000D794D" w:rsidRPr="00DE7940">
        <w:rPr>
          <w:lang w:val="fr-CA"/>
        </w:rPr>
        <w:t>’</w:t>
      </w:r>
      <w:r w:rsidRPr="00DE7940">
        <w:rPr>
          <w:lang w:val="fr-CA"/>
        </w:rPr>
        <w:t>information connexes en 2014</w:t>
      </w:r>
      <w:r w:rsidR="00DB38C9" w:rsidRPr="00DE7940">
        <w:rPr>
          <w:lang w:val="fr-CA"/>
        </w:rPr>
        <w:t>;</w:t>
      </w:r>
      <w:r w:rsidRPr="00DE7940">
        <w:rPr>
          <w:lang w:val="fr-CA"/>
        </w:rPr>
        <w:t xml:space="preserve"> une manifestation parallèle </w:t>
      </w:r>
      <w:r w:rsidR="00DB77E2" w:rsidRPr="00DE7940">
        <w:rPr>
          <w:lang w:val="fr-CA"/>
        </w:rPr>
        <w:t xml:space="preserve">concernant cette </w:t>
      </w:r>
      <w:r w:rsidRPr="00DE7940">
        <w:rPr>
          <w:lang w:val="fr-CA"/>
        </w:rPr>
        <w:t xml:space="preserve">interface lors de la quatrième session de la </w:t>
      </w:r>
      <w:r w:rsidR="00DB38C9" w:rsidRPr="00DE7940">
        <w:rPr>
          <w:lang w:val="fr-CA"/>
        </w:rPr>
        <w:t>Conférence internationale sur la gestion rationnelle des produits chimiques</w:t>
      </w:r>
      <w:r w:rsidRPr="00DE7940">
        <w:rPr>
          <w:lang w:val="fr-CA"/>
        </w:rPr>
        <w:t>, en 2015</w:t>
      </w:r>
      <w:r w:rsidR="00DB38C9" w:rsidRPr="00DE7940">
        <w:rPr>
          <w:lang w:val="fr-CA"/>
        </w:rPr>
        <w:t xml:space="preserve">; et </w:t>
      </w:r>
      <w:r w:rsidR="00DB77E2" w:rsidRPr="00DE7940">
        <w:rPr>
          <w:lang w:val="fr-CA"/>
        </w:rPr>
        <w:t>un atelier international sur la mise en œuvre intégrée des objectifs de développement durable et des accords sur les produits chimiques et les déchets qui doit se tenir du 11 au 13 avril 2016.</w:t>
      </w:r>
      <w:r w:rsidR="00524CE1" w:rsidRPr="00DE7940">
        <w:rPr>
          <w:lang w:val="fr-CA"/>
        </w:rPr>
        <w:t xml:space="preserve"> </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DB77E2" w:rsidRPr="00DE7940">
        <w:rPr>
          <w:lang w:val="fr-CA"/>
        </w:rPr>
        <w:t>Mercure</w:t>
      </w:r>
    </w:p>
    <w:p w:rsidR="00524CE1" w:rsidRPr="00DE7940" w:rsidRDefault="00DB77E2" w:rsidP="00DB77E2">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bCs/>
          <w:lang w:val="fr-CA"/>
        </w:rPr>
        <w:t>À sa première session,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environnement a prié le Directeur exécutif de favoriser la coopération, selon qu</w:t>
      </w:r>
      <w:r w:rsidR="000D794D" w:rsidRPr="00DE7940">
        <w:rPr>
          <w:bCs/>
          <w:lang w:val="fr-CA"/>
        </w:rPr>
        <w:t>’</w:t>
      </w:r>
      <w:r w:rsidRPr="00DE7940">
        <w:rPr>
          <w:bCs/>
          <w:lang w:val="fr-CA"/>
        </w:rPr>
        <w:t xml:space="preserve">il convient, entre le secrétariat provisoire de la Convention de Minamata </w:t>
      </w:r>
      <w:r w:rsidR="00AC70B3" w:rsidRPr="00DE7940">
        <w:rPr>
          <w:bCs/>
          <w:lang w:val="fr-CA"/>
        </w:rPr>
        <w:t xml:space="preserve">sur le mercure </w:t>
      </w:r>
      <w:r w:rsidRPr="00DE7940">
        <w:rPr>
          <w:bCs/>
          <w:lang w:val="fr-CA"/>
        </w:rPr>
        <w:t xml:space="preserve">et, entre autres, les secrétariats des conventions de Bâle, de Rotterdam et de Stockholm </w:t>
      </w:r>
      <w:r w:rsidR="00DE7940" w:rsidRPr="00DE7940">
        <w:rPr>
          <w:bCs/>
          <w:lang w:val="fr-CA"/>
        </w:rPr>
        <w:t>afin</w:t>
      </w:r>
      <w:r w:rsidRPr="00DE7940">
        <w:rPr>
          <w:bCs/>
          <w:lang w:val="fr-CA"/>
        </w:rPr>
        <w:t xml:space="preserve"> de tirer pleinement parti des données d</w:t>
      </w:r>
      <w:r w:rsidR="000D794D" w:rsidRPr="00DE7940">
        <w:rPr>
          <w:bCs/>
          <w:lang w:val="fr-CA"/>
        </w:rPr>
        <w:t>’</w:t>
      </w:r>
      <w:r w:rsidRPr="00DE7940">
        <w:rPr>
          <w:bCs/>
          <w:lang w:val="fr-CA"/>
        </w:rPr>
        <w:t>expérience et compétences utiles susceptibles d</w:t>
      </w:r>
      <w:r w:rsidR="000D794D" w:rsidRPr="00DE7940">
        <w:rPr>
          <w:bCs/>
          <w:lang w:val="fr-CA"/>
        </w:rPr>
        <w:t>’</w:t>
      </w:r>
      <w:r w:rsidRPr="00DE7940">
        <w:rPr>
          <w:bCs/>
          <w:lang w:val="fr-CA"/>
        </w:rPr>
        <w:t xml:space="preserve">inciter les pays à adhérer à la </w:t>
      </w:r>
      <w:r w:rsidR="00AC70B3" w:rsidRPr="00DE7940">
        <w:rPr>
          <w:bCs/>
          <w:lang w:val="fr-CA"/>
        </w:rPr>
        <w:t>Convention de Minamata sur le mercure,</w:t>
      </w:r>
      <w:r w:rsidRPr="00DE7940">
        <w:rPr>
          <w:bCs/>
          <w:lang w:val="fr-CA"/>
        </w:rPr>
        <w:t xml:space="preserve"> sous réserve que des fonds soient disponibles à cette fin.</w:t>
      </w:r>
    </w:p>
    <w:p w:rsidR="00524CE1" w:rsidRPr="00DE7940" w:rsidRDefault="00DB77E2" w:rsidP="00CC5D1F">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Au </w:t>
      </w:r>
      <w:r w:rsidR="000D794D" w:rsidRPr="00DE7940">
        <w:rPr>
          <w:lang w:val="fr-CA"/>
        </w:rPr>
        <w:t>29 février 2016, 23 </w:t>
      </w:r>
      <w:r w:rsidRPr="00DE7940">
        <w:rPr>
          <w:lang w:val="fr-CA"/>
        </w:rPr>
        <w:t>pays avaient déposé leurs instruments de ratification, d</w:t>
      </w:r>
      <w:r w:rsidR="000D794D" w:rsidRPr="00DE7940">
        <w:rPr>
          <w:lang w:val="fr-CA"/>
        </w:rPr>
        <w:t>’</w:t>
      </w:r>
      <w:r w:rsidRPr="00DE7940">
        <w:rPr>
          <w:lang w:val="fr-CA"/>
        </w:rPr>
        <w:t>approbation, d</w:t>
      </w:r>
      <w:r w:rsidR="000D794D" w:rsidRPr="00DE7940">
        <w:rPr>
          <w:lang w:val="fr-CA"/>
        </w:rPr>
        <w:t>’</w:t>
      </w:r>
      <w:r w:rsidRPr="00DE7940">
        <w:rPr>
          <w:lang w:val="fr-CA"/>
        </w:rPr>
        <w:t xml:space="preserve">adhésion ou </w:t>
      </w:r>
      <w:r w:rsidR="00AC70B3" w:rsidRPr="00DE7940">
        <w:rPr>
          <w:lang w:val="fr-CA"/>
        </w:rPr>
        <w:t>d</w:t>
      </w:r>
      <w:r w:rsidR="000D794D" w:rsidRPr="00DE7940">
        <w:rPr>
          <w:lang w:val="fr-CA"/>
        </w:rPr>
        <w:t>’</w:t>
      </w:r>
      <w:r w:rsidR="00AC70B3" w:rsidRPr="00DE7940">
        <w:rPr>
          <w:lang w:val="fr-CA"/>
        </w:rPr>
        <w:t>acceptation relatifs à la Convention de Minamata.</w:t>
      </w:r>
      <w:r w:rsidR="00524CE1" w:rsidRPr="00DE7940">
        <w:rPr>
          <w:lang w:val="fr-CA"/>
        </w:rPr>
        <w:t xml:space="preserve"> </w:t>
      </w:r>
      <w:r w:rsidR="00AC70B3" w:rsidRPr="00DE7940">
        <w:rPr>
          <w:lang w:val="fr-CA"/>
        </w:rPr>
        <w:t xml:space="preserve">Un </w:t>
      </w:r>
      <w:r w:rsidR="00DE7940" w:rsidRPr="00DE7940">
        <w:rPr>
          <w:lang w:val="fr-CA"/>
        </w:rPr>
        <w:t xml:space="preserve">plus grand </w:t>
      </w:r>
      <w:r w:rsidR="00AC70B3" w:rsidRPr="00DE7940">
        <w:rPr>
          <w:lang w:val="fr-CA"/>
        </w:rPr>
        <w:t>nombre d</w:t>
      </w:r>
      <w:r w:rsidR="000D794D" w:rsidRPr="00DE7940">
        <w:rPr>
          <w:lang w:val="fr-CA"/>
        </w:rPr>
        <w:t>’</w:t>
      </w:r>
      <w:r w:rsidR="00AC70B3" w:rsidRPr="00DE7940">
        <w:rPr>
          <w:lang w:val="fr-CA"/>
        </w:rPr>
        <w:t>autres pays semblaient par ailleurs avoir l</w:t>
      </w:r>
      <w:r w:rsidR="000D794D" w:rsidRPr="00DE7940">
        <w:rPr>
          <w:lang w:val="fr-CA"/>
        </w:rPr>
        <w:t>’</w:t>
      </w:r>
      <w:r w:rsidR="00AC70B3" w:rsidRPr="00DE7940">
        <w:rPr>
          <w:lang w:val="fr-CA"/>
        </w:rPr>
        <w:t>intention de déposer de tels instruments avant la fin de l</w:t>
      </w:r>
      <w:r w:rsidR="000D794D" w:rsidRPr="00DE7940">
        <w:rPr>
          <w:lang w:val="fr-CA"/>
        </w:rPr>
        <w:t>’</w:t>
      </w:r>
      <w:r w:rsidR="00AC70B3" w:rsidRPr="00DE7940">
        <w:rPr>
          <w:lang w:val="fr-CA"/>
        </w:rPr>
        <w:t>année 2015. D</w:t>
      </w:r>
      <w:r w:rsidR="000D794D" w:rsidRPr="00DE7940">
        <w:rPr>
          <w:lang w:val="fr-CA"/>
        </w:rPr>
        <w:t>’</w:t>
      </w:r>
      <w:r w:rsidR="00AC70B3" w:rsidRPr="00DE7940">
        <w:rPr>
          <w:lang w:val="fr-CA"/>
        </w:rPr>
        <w:t xml:space="preserve">après les informations </w:t>
      </w:r>
      <w:r w:rsidR="00140081" w:rsidRPr="00DE7940">
        <w:rPr>
          <w:lang w:val="fr-CA"/>
        </w:rPr>
        <w:t xml:space="preserve">à la disposition du </w:t>
      </w:r>
      <w:r w:rsidR="00AC70B3" w:rsidRPr="00DE7940">
        <w:rPr>
          <w:lang w:val="fr-CA"/>
        </w:rPr>
        <w:t xml:space="preserve">secrétariat provisoire, </w:t>
      </w:r>
      <w:r w:rsidR="00140081" w:rsidRPr="00DE7940">
        <w:rPr>
          <w:lang w:val="fr-CA"/>
        </w:rPr>
        <w:t xml:space="preserve">il a été estimé que </w:t>
      </w:r>
      <w:r w:rsidR="00AC70B3" w:rsidRPr="00DE7940">
        <w:rPr>
          <w:lang w:val="fr-CA"/>
        </w:rPr>
        <w:t>l</w:t>
      </w:r>
      <w:r w:rsidR="000D794D" w:rsidRPr="00DE7940">
        <w:rPr>
          <w:lang w:val="fr-CA"/>
        </w:rPr>
        <w:t>’</w:t>
      </w:r>
      <w:r w:rsidR="00AC70B3" w:rsidRPr="00DE7940">
        <w:rPr>
          <w:lang w:val="fr-CA"/>
        </w:rPr>
        <w:t xml:space="preserve">entrée en vigueur de la Convention, </w:t>
      </w:r>
      <w:r w:rsidR="00140081" w:rsidRPr="00DE7940">
        <w:rPr>
          <w:lang w:val="fr-CA"/>
        </w:rPr>
        <w:t xml:space="preserve">qui est censée se produire une fois le </w:t>
      </w:r>
      <w:r w:rsidR="00AC70B3" w:rsidRPr="00DE7940">
        <w:rPr>
          <w:lang w:val="fr-CA"/>
        </w:rPr>
        <w:t>cinquantième instrument de ratification, d</w:t>
      </w:r>
      <w:r w:rsidR="000D794D" w:rsidRPr="00DE7940">
        <w:rPr>
          <w:lang w:val="fr-CA"/>
        </w:rPr>
        <w:t>’</w:t>
      </w:r>
      <w:r w:rsidR="00AC70B3" w:rsidRPr="00DE7940">
        <w:rPr>
          <w:lang w:val="fr-CA"/>
        </w:rPr>
        <w:t>acceptation, d</w:t>
      </w:r>
      <w:r w:rsidR="000D794D" w:rsidRPr="00DE7940">
        <w:rPr>
          <w:lang w:val="fr-CA"/>
        </w:rPr>
        <w:t>’</w:t>
      </w:r>
      <w:r w:rsidR="00AC70B3" w:rsidRPr="00DE7940">
        <w:rPr>
          <w:lang w:val="fr-CA"/>
        </w:rPr>
        <w:t>approbation ou d</w:t>
      </w:r>
      <w:r w:rsidR="000D794D" w:rsidRPr="00DE7940">
        <w:rPr>
          <w:lang w:val="fr-CA"/>
        </w:rPr>
        <w:t>’</w:t>
      </w:r>
      <w:r w:rsidR="00AC70B3" w:rsidRPr="00DE7940">
        <w:rPr>
          <w:lang w:val="fr-CA"/>
        </w:rPr>
        <w:t>adhésion</w:t>
      </w:r>
      <w:r w:rsidR="00140081" w:rsidRPr="00DE7940">
        <w:rPr>
          <w:lang w:val="fr-CA"/>
        </w:rPr>
        <w:t xml:space="preserve"> déposé</w:t>
      </w:r>
      <w:r w:rsidR="00AC70B3" w:rsidRPr="00DE7940">
        <w:rPr>
          <w:lang w:val="fr-CA"/>
        </w:rPr>
        <w:t xml:space="preserve">, </w:t>
      </w:r>
      <w:r w:rsidR="00140081" w:rsidRPr="00DE7940">
        <w:rPr>
          <w:lang w:val="fr-CA"/>
        </w:rPr>
        <w:t>aura</w:t>
      </w:r>
      <w:r w:rsidR="00AC70B3" w:rsidRPr="00DE7940">
        <w:rPr>
          <w:lang w:val="fr-CA"/>
        </w:rPr>
        <w:t xml:space="preserve"> lieu au troisième ou quatrième trimestre 2016</w:t>
      </w:r>
      <w:r w:rsidR="00140081" w:rsidRPr="00DE7940">
        <w:rPr>
          <w:lang w:val="fr-CA"/>
        </w:rPr>
        <w:t>.</w:t>
      </w:r>
      <w:r w:rsidR="00524CE1" w:rsidRPr="00DE7940">
        <w:rPr>
          <w:lang w:val="fr-CA"/>
        </w:rPr>
        <w:t xml:space="preserve"> </w:t>
      </w:r>
      <w:r w:rsidR="00CC5D1F" w:rsidRPr="00DE7940">
        <w:rPr>
          <w:lang w:val="fr-CA"/>
        </w:rPr>
        <w:t xml:space="preserve">La première réunion de la Conférence des Parties a donc été programmée à titre provisoire pour la </w:t>
      </w:r>
      <w:r w:rsidR="00B52C47">
        <w:rPr>
          <w:lang w:val="fr-CA"/>
        </w:rPr>
        <w:t>deu</w:t>
      </w:r>
      <w:r w:rsidR="00DE7940" w:rsidRPr="00DE7940">
        <w:rPr>
          <w:lang w:val="fr-CA"/>
        </w:rPr>
        <w:t xml:space="preserve">xième moitié de </w:t>
      </w:r>
      <w:r w:rsidR="00CC5D1F" w:rsidRPr="00DE7940">
        <w:rPr>
          <w:lang w:val="fr-CA"/>
        </w:rPr>
        <w:t>2017.</w:t>
      </w:r>
      <w:r w:rsidR="00524CE1" w:rsidRPr="00DE7940">
        <w:rPr>
          <w:lang w:val="fr-CA"/>
        </w:rPr>
        <w:t xml:space="preserve"> </w:t>
      </w:r>
    </w:p>
    <w:p w:rsidR="00524CE1" w:rsidRPr="00DE7940" w:rsidRDefault="00686198" w:rsidP="007D34C6">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w:t>
      </w:r>
      <w:r w:rsidR="00CC5D1F" w:rsidRPr="00DE7940">
        <w:rPr>
          <w:lang w:val="fr-CA"/>
        </w:rPr>
        <w:t xml:space="preserve">a Jordanie </w:t>
      </w:r>
      <w:r w:rsidRPr="00DE7940">
        <w:rPr>
          <w:lang w:val="fr-CA"/>
        </w:rPr>
        <w:t xml:space="preserve">ayant offert </w:t>
      </w:r>
      <w:r w:rsidR="00CC5D1F" w:rsidRPr="00DE7940">
        <w:rPr>
          <w:lang w:val="fr-CA"/>
        </w:rPr>
        <w:t>d</w:t>
      </w:r>
      <w:r w:rsidR="000D794D" w:rsidRPr="00DE7940">
        <w:rPr>
          <w:lang w:val="fr-CA"/>
        </w:rPr>
        <w:t>’</w:t>
      </w:r>
      <w:r w:rsidR="00CC5D1F" w:rsidRPr="00DE7940">
        <w:rPr>
          <w:lang w:val="fr-CA"/>
        </w:rPr>
        <w:t>accueillir la septième session du Comité de négociation intergouvernemental chargé d</w:t>
      </w:r>
      <w:r w:rsidR="000D794D" w:rsidRPr="00DE7940">
        <w:rPr>
          <w:lang w:val="fr-CA"/>
        </w:rPr>
        <w:t>’</w:t>
      </w:r>
      <w:r w:rsidR="00CC5D1F" w:rsidRPr="00DE7940">
        <w:rPr>
          <w:lang w:val="fr-CA"/>
        </w:rPr>
        <w:t xml:space="preserve">élaborer un instrument international juridiquement contraignant sur le mercure, des préparatifs </w:t>
      </w:r>
      <w:r w:rsidRPr="00DE7940">
        <w:rPr>
          <w:lang w:val="fr-CA"/>
        </w:rPr>
        <w:t xml:space="preserve">y </w:t>
      </w:r>
      <w:r w:rsidR="00CC5D1F" w:rsidRPr="00DE7940">
        <w:rPr>
          <w:lang w:val="fr-CA"/>
        </w:rPr>
        <w:t xml:space="preserve">sont en cours </w:t>
      </w:r>
      <w:r w:rsidR="00390FFD" w:rsidRPr="00DE7940">
        <w:rPr>
          <w:lang w:val="fr-CA"/>
        </w:rPr>
        <w:t>en vue de</w:t>
      </w:r>
      <w:r w:rsidR="00CC5D1F" w:rsidRPr="00DE7940">
        <w:rPr>
          <w:lang w:val="fr-CA"/>
        </w:rPr>
        <w:t xml:space="preserve"> </w:t>
      </w:r>
      <w:r w:rsidRPr="00DE7940">
        <w:rPr>
          <w:lang w:val="fr-CA"/>
        </w:rPr>
        <w:t xml:space="preserve">la </w:t>
      </w:r>
      <w:r w:rsidR="00CC5D1F" w:rsidRPr="00DE7940">
        <w:rPr>
          <w:lang w:val="fr-CA"/>
        </w:rPr>
        <w:t>ten</w:t>
      </w:r>
      <w:r w:rsidRPr="00DE7940">
        <w:rPr>
          <w:lang w:val="fr-CA"/>
        </w:rPr>
        <w:t>ue de</w:t>
      </w:r>
      <w:r w:rsidR="00CC5D1F" w:rsidRPr="00DE7940">
        <w:rPr>
          <w:lang w:val="fr-CA"/>
        </w:rPr>
        <w:t xml:space="preserve"> </w:t>
      </w:r>
      <w:r w:rsidR="00390FFD" w:rsidRPr="00DE7940">
        <w:rPr>
          <w:lang w:val="fr-CA"/>
        </w:rPr>
        <w:t>cet</w:t>
      </w:r>
      <w:r w:rsidR="00CC5D1F" w:rsidRPr="00DE7940">
        <w:rPr>
          <w:lang w:val="fr-CA"/>
        </w:rPr>
        <w:t xml:space="preserve">te session du 10 au 15 mars 2016, </w:t>
      </w:r>
      <w:r w:rsidRPr="00DE7940">
        <w:rPr>
          <w:lang w:val="fr-CA"/>
        </w:rPr>
        <w:t xml:space="preserve">à la suite de </w:t>
      </w:r>
      <w:r w:rsidR="00CC5D1F" w:rsidRPr="00DE7940">
        <w:rPr>
          <w:lang w:val="fr-CA"/>
        </w:rPr>
        <w:t xml:space="preserve">réunions régionales </w:t>
      </w:r>
      <w:r w:rsidR="00390FFD" w:rsidRPr="00DE7940">
        <w:rPr>
          <w:lang w:val="fr-CA"/>
        </w:rPr>
        <w:t>qui doivent avoir lieu</w:t>
      </w:r>
      <w:r w:rsidR="00CC5D1F" w:rsidRPr="00DE7940">
        <w:rPr>
          <w:lang w:val="fr-CA"/>
        </w:rPr>
        <w:t xml:space="preserve"> le 9 mars 2016</w:t>
      </w:r>
      <w:r w:rsidRPr="00DE7940">
        <w:rPr>
          <w:lang w:val="fr-CA"/>
        </w:rPr>
        <w:t xml:space="preserve">. </w:t>
      </w:r>
      <w:r w:rsidR="001763A8" w:rsidRPr="00DE7940">
        <w:rPr>
          <w:lang w:val="fr-CA"/>
        </w:rPr>
        <w:t>D</w:t>
      </w:r>
      <w:r w:rsidR="000D794D" w:rsidRPr="00DE7940">
        <w:rPr>
          <w:lang w:val="fr-CA"/>
        </w:rPr>
        <w:t>’</w:t>
      </w:r>
      <w:r w:rsidR="001763A8" w:rsidRPr="00DE7940">
        <w:rPr>
          <w:lang w:val="fr-CA"/>
        </w:rPr>
        <w:t>autres réunions préparatoires régionales sont</w:t>
      </w:r>
      <w:r w:rsidR="00390FFD" w:rsidRPr="00DE7940">
        <w:rPr>
          <w:lang w:val="fr-CA"/>
        </w:rPr>
        <w:t xml:space="preserve"> également prévu</w:t>
      </w:r>
      <w:r w:rsidR="001763A8" w:rsidRPr="00DE7940">
        <w:rPr>
          <w:lang w:val="fr-CA"/>
        </w:rPr>
        <w:t>es aux fins de l</w:t>
      </w:r>
      <w:r w:rsidR="000D794D" w:rsidRPr="00DE7940">
        <w:rPr>
          <w:lang w:val="fr-CA"/>
        </w:rPr>
        <w:t>’</w:t>
      </w:r>
      <w:r w:rsidR="001763A8" w:rsidRPr="00DE7940">
        <w:rPr>
          <w:lang w:val="fr-CA"/>
        </w:rPr>
        <w:t>inscription de questions se rapportant aux conventions de Bâle, de Rotterdam et de Stockholm à l</w:t>
      </w:r>
      <w:r w:rsidR="000D794D" w:rsidRPr="00DE7940">
        <w:rPr>
          <w:lang w:val="fr-CA"/>
        </w:rPr>
        <w:t>’</w:t>
      </w:r>
      <w:r w:rsidR="001763A8" w:rsidRPr="00DE7940">
        <w:rPr>
          <w:lang w:val="fr-CA"/>
        </w:rPr>
        <w:t>ordre du jour de la session.</w:t>
      </w:r>
      <w:r w:rsidR="00524CE1" w:rsidRPr="00DE7940">
        <w:rPr>
          <w:lang w:val="fr-CA"/>
        </w:rPr>
        <w:t xml:space="preserve"> </w:t>
      </w:r>
      <w:r w:rsidR="007D34C6" w:rsidRPr="00DE7940">
        <w:rPr>
          <w:lang w:val="fr-CA"/>
        </w:rPr>
        <w:t>On trouvera dans le document UNEA/EA</w:t>
      </w:r>
      <w:r w:rsidR="00342F88" w:rsidRPr="00DE7940">
        <w:rPr>
          <w:lang w:val="fr-CA"/>
        </w:rPr>
        <w:t>.</w:t>
      </w:r>
      <w:r w:rsidR="000D794D" w:rsidRPr="00DE7940">
        <w:rPr>
          <w:lang w:val="fr-CA"/>
        </w:rPr>
        <w:t>2/INF/21</w:t>
      </w:r>
      <w:r w:rsidR="007D34C6" w:rsidRPr="00DE7940">
        <w:rPr>
          <w:lang w:val="fr-CA"/>
        </w:rPr>
        <w:t xml:space="preserve"> un bref résumé des résultats de la septième session du Comité de négociation intergouvernemental ainsi qu</w:t>
      </w:r>
      <w:r w:rsidR="000D794D" w:rsidRPr="00DE7940">
        <w:rPr>
          <w:lang w:val="fr-CA"/>
        </w:rPr>
        <w:t>’</w:t>
      </w:r>
      <w:r w:rsidR="007D34C6" w:rsidRPr="00DE7940">
        <w:rPr>
          <w:lang w:val="fr-CA"/>
        </w:rPr>
        <w:t>une mise à jour sur l</w:t>
      </w:r>
      <w:r w:rsidR="000D794D" w:rsidRPr="00DE7940">
        <w:rPr>
          <w:lang w:val="fr-CA"/>
        </w:rPr>
        <w:t>’</w:t>
      </w:r>
      <w:r w:rsidR="007D34C6" w:rsidRPr="00DE7940">
        <w:rPr>
          <w:lang w:val="fr-CA"/>
        </w:rPr>
        <w:t>état des ratifications, approbations, adhésions et acceptations.</w:t>
      </w:r>
    </w:p>
    <w:p w:rsidR="00524CE1" w:rsidRPr="00DE7940" w:rsidRDefault="007D34C6" w:rsidP="00A1747F">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Dans le c</w:t>
      </w:r>
      <w:r w:rsidR="00767FA6" w:rsidRPr="00DE7940">
        <w:rPr>
          <w:lang w:val="fr-CA"/>
        </w:rPr>
        <w:t>a</w:t>
      </w:r>
      <w:r w:rsidRPr="00DE7940">
        <w:rPr>
          <w:lang w:val="fr-CA"/>
        </w:rPr>
        <w:t>dre de ses travaux d</w:t>
      </w:r>
      <w:r w:rsidR="000D794D" w:rsidRPr="00DE7940">
        <w:rPr>
          <w:lang w:val="fr-CA"/>
        </w:rPr>
        <w:t>’</w:t>
      </w:r>
      <w:r w:rsidRPr="00DE7940">
        <w:rPr>
          <w:lang w:val="fr-CA"/>
        </w:rPr>
        <w:t>organisation et d</w:t>
      </w:r>
      <w:r w:rsidR="000D794D" w:rsidRPr="00DE7940">
        <w:rPr>
          <w:lang w:val="fr-CA"/>
        </w:rPr>
        <w:t>’</w:t>
      </w:r>
      <w:r w:rsidRPr="00DE7940">
        <w:rPr>
          <w:lang w:val="fr-CA"/>
        </w:rPr>
        <w:t xml:space="preserve">élaboration de documents </w:t>
      </w:r>
      <w:r w:rsidR="00767FA6" w:rsidRPr="00DE7940">
        <w:rPr>
          <w:lang w:val="fr-CA"/>
        </w:rPr>
        <w:t>de fond pour les sessions du Comité de négociation intergouvernemental, ainsi que dans celui de l</w:t>
      </w:r>
      <w:r w:rsidR="000D794D" w:rsidRPr="00DE7940">
        <w:rPr>
          <w:lang w:val="fr-CA"/>
        </w:rPr>
        <w:t>’</w:t>
      </w:r>
      <w:r w:rsidR="00767FA6" w:rsidRPr="00DE7940">
        <w:rPr>
          <w:lang w:val="fr-CA"/>
        </w:rPr>
        <w:t>appui fourni aux pays en matière de ratification et de mise en œuvre rapide de la Convention de Minamata, le secrétariat provisoire a coopéré, selon qu</w:t>
      </w:r>
      <w:r w:rsidR="000D794D" w:rsidRPr="00DE7940">
        <w:rPr>
          <w:lang w:val="fr-CA"/>
        </w:rPr>
        <w:t>’</w:t>
      </w:r>
      <w:r w:rsidR="00767FA6" w:rsidRPr="00DE7940">
        <w:rPr>
          <w:lang w:val="fr-CA"/>
        </w:rPr>
        <w:t xml:space="preserve">il convenait, avec les secrétariats des conventions de Bâle, de Rotterdam et de Stockholm, essentiellement </w:t>
      </w:r>
      <w:r w:rsidR="00A1747F" w:rsidRPr="00DE7940">
        <w:rPr>
          <w:lang w:val="fr-CA"/>
        </w:rPr>
        <w:t>aux plans</w:t>
      </w:r>
      <w:r w:rsidR="00767FA6" w:rsidRPr="00DE7940">
        <w:rPr>
          <w:lang w:val="fr-CA"/>
        </w:rPr>
        <w:t xml:space="preserve"> de la coopération scientifique et technique, de l</w:t>
      </w:r>
      <w:r w:rsidR="000D794D" w:rsidRPr="00DE7940">
        <w:rPr>
          <w:lang w:val="fr-CA"/>
        </w:rPr>
        <w:t>’</w:t>
      </w:r>
      <w:r w:rsidR="00767FA6" w:rsidRPr="00DE7940">
        <w:rPr>
          <w:lang w:val="fr-CA"/>
        </w:rPr>
        <w:t xml:space="preserve">organisation </w:t>
      </w:r>
      <w:r w:rsidR="00251750" w:rsidRPr="00DE7940">
        <w:rPr>
          <w:lang w:val="fr-CA"/>
        </w:rPr>
        <w:t>et du service des réunions, des questions de politique générale et de stratégie, des systèmes d</w:t>
      </w:r>
      <w:r w:rsidR="000D794D" w:rsidRPr="00DE7940">
        <w:rPr>
          <w:lang w:val="fr-CA"/>
        </w:rPr>
        <w:t>’</w:t>
      </w:r>
      <w:r w:rsidR="00251750" w:rsidRPr="00DE7940">
        <w:rPr>
          <w:lang w:val="fr-CA"/>
        </w:rPr>
        <w:t>information et des relations extérieures, et de la communication.</w:t>
      </w:r>
      <w:r w:rsidR="00524CE1" w:rsidRPr="00DE7940">
        <w:rPr>
          <w:lang w:val="fr-CA"/>
        </w:rPr>
        <w:t xml:space="preserve"> </w:t>
      </w:r>
      <w:r w:rsidR="00251750" w:rsidRPr="00DE7940">
        <w:rPr>
          <w:lang w:val="fr-CA"/>
        </w:rPr>
        <w:t xml:space="preserve">Cette coopération </w:t>
      </w:r>
      <w:r w:rsidR="00732D04" w:rsidRPr="00DE7940">
        <w:rPr>
          <w:lang w:val="fr-CA"/>
        </w:rPr>
        <w:t>a permis d</w:t>
      </w:r>
      <w:r w:rsidR="000D794D" w:rsidRPr="00DE7940">
        <w:rPr>
          <w:lang w:val="fr-CA"/>
        </w:rPr>
        <w:t>’</w:t>
      </w:r>
      <w:r w:rsidR="00732D04" w:rsidRPr="00DE7940">
        <w:rPr>
          <w:lang w:val="fr-CA"/>
        </w:rPr>
        <w:t>accroître l</w:t>
      </w:r>
      <w:r w:rsidR="000D794D" w:rsidRPr="00DE7940">
        <w:rPr>
          <w:lang w:val="fr-CA"/>
        </w:rPr>
        <w:t>’</w:t>
      </w:r>
      <w:r w:rsidR="00732D04" w:rsidRPr="00DE7940">
        <w:rPr>
          <w:lang w:val="fr-CA"/>
        </w:rPr>
        <w:t>efficacité des démarches entreprises par les pays pour ratifier et mettre en œuvre la Convention.</w:t>
      </w:r>
      <w:r w:rsidR="00524CE1" w:rsidRPr="00DE7940">
        <w:rPr>
          <w:lang w:val="fr-CA"/>
        </w:rPr>
        <w:t xml:space="preserve"> </w:t>
      </w:r>
      <w:r w:rsidR="00A1747F" w:rsidRPr="00DE7940">
        <w:rPr>
          <w:lang w:val="fr-CA"/>
        </w:rPr>
        <w:t>Une coopération étroite avec l</w:t>
      </w:r>
      <w:r w:rsidR="000D794D" w:rsidRPr="00DE7940">
        <w:rPr>
          <w:lang w:val="fr-CA"/>
        </w:rPr>
        <w:t>’</w:t>
      </w:r>
      <w:r w:rsidR="00A1747F" w:rsidRPr="00DE7940">
        <w:rPr>
          <w:lang w:val="fr-CA"/>
        </w:rPr>
        <w:t xml:space="preserve">Organisation mondiale de la </w:t>
      </w:r>
      <w:r w:rsidR="00B52C47">
        <w:rPr>
          <w:lang w:val="fr-CA"/>
        </w:rPr>
        <w:t>S</w:t>
      </w:r>
      <w:r w:rsidR="00A1747F" w:rsidRPr="00DE7940">
        <w:rPr>
          <w:lang w:val="fr-CA"/>
        </w:rPr>
        <w:t>anté</w:t>
      </w:r>
      <w:r w:rsidR="005661FC" w:rsidRPr="00DE7940">
        <w:rPr>
          <w:lang w:val="fr-CA"/>
        </w:rPr>
        <w:t xml:space="preserve"> (OMS)</w:t>
      </w:r>
      <w:r w:rsidR="00A1747F" w:rsidRPr="00DE7940">
        <w:rPr>
          <w:lang w:val="fr-CA"/>
        </w:rPr>
        <w:t>, l</w:t>
      </w:r>
      <w:r w:rsidR="000D794D" w:rsidRPr="00DE7940">
        <w:rPr>
          <w:lang w:val="fr-CA"/>
        </w:rPr>
        <w:t>’</w:t>
      </w:r>
      <w:r w:rsidR="00A1747F" w:rsidRPr="00DE7940">
        <w:rPr>
          <w:lang w:val="fr-CA"/>
        </w:rPr>
        <w:t>Organisation des Nations Unies pour le développement industriel, le P</w:t>
      </w:r>
      <w:r w:rsidR="00B52C47">
        <w:rPr>
          <w:lang w:val="fr-CA"/>
        </w:rPr>
        <w:t>rogramme des Nations Unies pour le développement</w:t>
      </w:r>
      <w:r w:rsidR="005661FC" w:rsidRPr="00DE7940">
        <w:rPr>
          <w:lang w:val="fr-CA"/>
        </w:rPr>
        <w:t>,</w:t>
      </w:r>
      <w:r w:rsidR="00A1747F" w:rsidRPr="00DE7940">
        <w:rPr>
          <w:lang w:val="fr-CA"/>
        </w:rPr>
        <w:t xml:space="preserve"> le secrétariat du F</w:t>
      </w:r>
      <w:r w:rsidR="005661FC" w:rsidRPr="00DE7940">
        <w:rPr>
          <w:lang w:val="fr-CA"/>
        </w:rPr>
        <w:t>EM</w:t>
      </w:r>
      <w:r w:rsidR="00A1747F" w:rsidRPr="00DE7940">
        <w:rPr>
          <w:lang w:val="fr-CA"/>
        </w:rPr>
        <w:t xml:space="preserve"> </w:t>
      </w:r>
      <w:r w:rsidR="005661FC" w:rsidRPr="00DE7940">
        <w:rPr>
          <w:lang w:val="fr-CA"/>
        </w:rPr>
        <w:t>et l</w:t>
      </w:r>
      <w:r w:rsidR="000D794D" w:rsidRPr="00DE7940">
        <w:rPr>
          <w:lang w:val="fr-CA"/>
        </w:rPr>
        <w:t>’</w:t>
      </w:r>
      <w:proofErr w:type="spellStart"/>
      <w:r w:rsidR="00A90F7E">
        <w:rPr>
          <w:color w:val="000000"/>
        </w:rPr>
        <w:t>Institut</w:t>
      </w:r>
      <w:proofErr w:type="spellEnd"/>
      <w:r w:rsidR="00A90F7E">
        <w:rPr>
          <w:color w:val="000000"/>
        </w:rPr>
        <w:t xml:space="preserve"> des Nations </w:t>
      </w:r>
      <w:proofErr w:type="spellStart"/>
      <w:r w:rsidR="00A90F7E">
        <w:rPr>
          <w:color w:val="000000"/>
        </w:rPr>
        <w:t>Unies</w:t>
      </w:r>
      <w:proofErr w:type="spellEnd"/>
      <w:r w:rsidR="00A90F7E">
        <w:rPr>
          <w:color w:val="000000"/>
        </w:rPr>
        <w:t xml:space="preserve"> pour la formation et la </w:t>
      </w:r>
      <w:proofErr w:type="spellStart"/>
      <w:r w:rsidR="00A90F7E">
        <w:rPr>
          <w:color w:val="000000"/>
        </w:rPr>
        <w:t>recherche</w:t>
      </w:r>
      <w:proofErr w:type="spellEnd"/>
      <w:r w:rsidR="00A90F7E">
        <w:rPr>
          <w:color w:val="000000"/>
        </w:rPr>
        <w:t xml:space="preserve"> </w:t>
      </w:r>
      <w:r w:rsidR="00A1747F" w:rsidRPr="00DE7940">
        <w:rPr>
          <w:lang w:val="fr-CA"/>
        </w:rPr>
        <w:t>a également été engagée pour tirer pleinement profit de l</w:t>
      </w:r>
      <w:r w:rsidR="000D794D" w:rsidRPr="00DE7940">
        <w:rPr>
          <w:lang w:val="fr-CA"/>
        </w:rPr>
        <w:t>’</w:t>
      </w:r>
      <w:r w:rsidR="00A1747F" w:rsidRPr="00DE7940">
        <w:rPr>
          <w:lang w:val="fr-CA"/>
        </w:rPr>
        <w:t>expérience et des connaissances spécialisées de ces organismes dans les domaines pertinents.</w:t>
      </w:r>
      <w:r w:rsidR="00524CE1" w:rsidRPr="00DE7940">
        <w:rPr>
          <w:lang w:val="fr-CA"/>
        </w:rPr>
        <w:t xml:space="preserve"> </w:t>
      </w:r>
    </w:p>
    <w:p w:rsidR="00524CE1" w:rsidRPr="00DE7940" w:rsidRDefault="00A1747F" w:rsidP="005661FC">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Les activités de mise en œuvre de la Convention de Minamata ont </w:t>
      </w:r>
      <w:r w:rsidR="00937CBC" w:rsidRPr="00DE7940">
        <w:rPr>
          <w:lang w:val="fr-CA"/>
        </w:rPr>
        <w:t xml:space="preserve">surtout </w:t>
      </w:r>
      <w:r w:rsidRPr="00DE7940">
        <w:rPr>
          <w:lang w:val="fr-CA"/>
        </w:rPr>
        <w:t>con</w:t>
      </w:r>
      <w:r w:rsidR="00937CBC" w:rsidRPr="00DE7940">
        <w:rPr>
          <w:lang w:val="fr-CA"/>
        </w:rPr>
        <w:t>sisté à</w:t>
      </w:r>
      <w:r w:rsidRPr="00DE7940">
        <w:rPr>
          <w:lang w:val="fr-CA"/>
        </w:rPr>
        <w:t xml:space="preserve"> ten</w:t>
      </w:r>
      <w:r w:rsidR="00937CBC" w:rsidRPr="00DE7940">
        <w:rPr>
          <w:lang w:val="fr-CA"/>
        </w:rPr>
        <w:t>ir</w:t>
      </w:r>
      <w:r w:rsidRPr="00DE7940">
        <w:rPr>
          <w:lang w:val="fr-CA"/>
        </w:rPr>
        <w:t xml:space="preserve"> d</w:t>
      </w:r>
      <w:r w:rsidR="00937CBC" w:rsidRPr="00DE7940">
        <w:rPr>
          <w:lang w:val="fr-CA"/>
        </w:rPr>
        <w:t xml:space="preserve">es </w:t>
      </w:r>
      <w:r w:rsidRPr="00DE7940">
        <w:rPr>
          <w:lang w:val="fr-CA"/>
        </w:rPr>
        <w:t>ateliers régionaux de sensibilisation destinés à aider les pays à élaborer une feuille de route vers la ratification.</w:t>
      </w:r>
      <w:r w:rsidR="00524CE1" w:rsidRPr="00DE7940">
        <w:rPr>
          <w:lang w:val="fr-CA"/>
        </w:rPr>
        <w:t xml:space="preserve"> </w:t>
      </w:r>
      <w:r w:rsidR="00937CBC" w:rsidRPr="00DE7940">
        <w:rPr>
          <w:lang w:val="fr-CA"/>
        </w:rPr>
        <w:t xml:space="preserve">Des occasions de se pencher, et de partager des informations, sur des questions et </w:t>
      </w:r>
      <w:r w:rsidR="00937CBC" w:rsidRPr="00DE7940">
        <w:rPr>
          <w:lang w:val="fr-CA"/>
        </w:rPr>
        <w:lastRenderedPageBreak/>
        <w:t>problèmes régionaux se sont en outre offertes lors de diverses activités régionales.</w:t>
      </w:r>
      <w:r w:rsidR="00524CE1" w:rsidRPr="00DE7940">
        <w:rPr>
          <w:lang w:val="fr-CA"/>
        </w:rPr>
        <w:t xml:space="preserve"> </w:t>
      </w:r>
      <w:r w:rsidR="00937CBC" w:rsidRPr="00DE7940">
        <w:rPr>
          <w:lang w:val="fr-CA"/>
        </w:rPr>
        <w:t>Un certain nombre de projets pilotes ont été menés par le secrétariat provisoire pour appuyer les travaux de mise en œuvre.</w:t>
      </w:r>
      <w:r w:rsidR="00524CE1" w:rsidRPr="00DE7940">
        <w:rPr>
          <w:lang w:val="fr-CA"/>
        </w:rPr>
        <w:t xml:space="preserve"> </w:t>
      </w:r>
      <w:r w:rsidR="000D794D" w:rsidRPr="00DE7940">
        <w:rPr>
          <w:lang w:val="fr-CA"/>
        </w:rPr>
        <w:t>Depuis mars 2014, 12 </w:t>
      </w:r>
      <w:r w:rsidR="00111E62">
        <w:rPr>
          <w:lang w:val="fr-CA"/>
        </w:rPr>
        <w:t xml:space="preserve">ateliers </w:t>
      </w:r>
      <w:proofErr w:type="spellStart"/>
      <w:r w:rsidR="00111E62">
        <w:rPr>
          <w:lang w:val="fr-CA"/>
        </w:rPr>
        <w:t>sous-régionaux</w:t>
      </w:r>
      <w:proofErr w:type="spellEnd"/>
      <w:r w:rsidR="00111E62">
        <w:rPr>
          <w:lang w:val="fr-CA"/>
        </w:rPr>
        <w:t xml:space="preserve"> et 4 </w:t>
      </w:r>
      <w:r w:rsidR="00937CBC" w:rsidRPr="00DE7940">
        <w:rPr>
          <w:lang w:val="fr-CA"/>
        </w:rPr>
        <w:t>ateliers régionaux ont été organisés pour faciliter la ratification et la mise en œuvre rapide de la Convention.</w:t>
      </w:r>
      <w:r w:rsidR="00524CE1" w:rsidRPr="00DE7940">
        <w:rPr>
          <w:lang w:val="fr-CA"/>
        </w:rPr>
        <w:t xml:space="preserve"> </w:t>
      </w:r>
      <w:r w:rsidR="00937CBC" w:rsidRPr="00DE7940">
        <w:rPr>
          <w:lang w:val="fr-CA"/>
        </w:rPr>
        <w:t xml:space="preserve">Les ateliers et réunions régionaux se sont </w:t>
      </w:r>
      <w:proofErr w:type="gramStart"/>
      <w:r w:rsidR="00937CBC" w:rsidRPr="00DE7940">
        <w:rPr>
          <w:lang w:val="fr-CA"/>
        </w:rPr>
        <w:t>déroulés</w:t>
      </w:r>
      <w:proofErr w:type="gramEnd"/>
      <w:r w:rsidR="00937CBC" w:rsidRPr="00DE7940">
        <w:rPr>
          <w:lang w:val="fr-CA"/>
        </w:rPr>
        <w:t xml:space="preserve"> co</w:t>
      </w:r>
      <w:r w:rsidR="002E2E2F" w:rsidRPr="00DE7940">
        <w:rPr>
          <w:lang w:val="fr-CA"/>
        </w:rPr>
        <w:t>up sur coup en préparation des réunions de 2015 des conférences des Parties aux conventions de Bâle, de Rotterdam et de Stockholm.</w:t>
      </w:r>
      <w:r w:rsidR="00524CE1" w:rsidRPr="00DE7940">
        <w:rPr>
          <w:lang w:val="fr-CA"/>
        </w:rPr>
        <w:t xml:space="preserve"> </w:t>
      </w:r>
      <w:r w:rsidR="005661FC" w:rsidRPr="00DE7940">
        <w:rPr>
          <w:lang w:val="fr-CA"/>
        </w:rPr>
        <w:t>Les ateliers ont rassemblé p</w:t>
      </w:r>
      <w:r w:rsidR="00342F88" w:rsidRPr="00DE7940">
        <w:rPr>
          <w:lang w:val="fr-CA"/>
        </w:rPr>
        <w:t>lus de 1 000 </w:t>
      </w:r>
      <w:r w:rsidR="002E2E2F" w:rsidRPr="00DE7940">
        <w:rPr>
          <w:lang w:val="fr-CA"/>
        </w:rPr>
        <w:t>participants de 135 pays, dont des représentants de la société civile et d</w:t>
      </w:r>
      <w:r w:rsidR="000D794D" w:rsidRPr="00DE7940">
        <w:rPr>
          <w:lang w:val="fr-CA"/>
        </w:rPr>
        <w:t>’</w:t>
      </w:r>
      <w:r w:rsidR="002E2E2F" w:rsidRPr="00DE7940">
        <w:rPr>
          <w:lang w:val="fr-CA"/>
        </w:rPr>
        <w:t>organisations intergouvernementales et non gouvernementales.</w:t>
      </w:r>
    </w:p>
    <w:p w:rsidR="00524CE1" w:rsidRPr="00DE7940" w:rsidRDefault="005661FC" w:rsidP="00BE7199">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portefeuille des projets financés par le FEM visant à aider les pays à mener à bonne fin des activités habilitantes dans le cadre de la Convention de Minamata se compose actuellement de 38 projets d</w:t>
      </w:r>
      <w:r w:rsidR="000D794D" w:rsidRPr="00DE7940">
        <w:rPr>
          <w:lang w:val="fr-CA"/>
        </w:rPr>
        <w:t>’</w:t>
      </w:r>
      <w:r w:rsidRPr="00DE7940">
        <w:rPr>
          <w:lang w:val="fr-CA"/>
        </w:rPr>
        <w:t>évaluation initiale du mercure et 10 plans d</w:t>
      </w:r>
      <w:r w:rsidR="000D794D" w:rsidRPr="00DE7940">
        <w:rPr>
          <w:lang w:val="fr-CA"/>
        </w:rPr>
        <w:t>’</w:t>
      </w:r>
      <w:r w:rsidRPr="00DE7940">
        <w:rPr>
          <w:lang w:val="fr-CA"/>
        </w:rPr>
        <w:t>action nationaux</w:t>
      </w:r>
      <w:r w:rsidR="00BA6C98" w:rsidRPr="00DE7940">
        <w:rPr>
          <w:lang w:val="fr-CA"/>
        </w:rPr>
        <w:t>; d</w:t>
      </w:r>
      <w:r w:rsidR="000D794D" w:rsidRPr="00DE7940">
        <w:rPr>
          <w:lang w:val="fr-CA"/>
        </w:rPr>
        <w:t>’</w:t>
      </w:r>
      <w:r w:rsidR="00BA6C98" w:rsidRPr="00DE7940">
        <w:rPr>
          <w:lang w:val="fr-CA"/>
        </w:rPr>
        <w:t>autres sont dans la filière. Le FEM fournit par ailleurs un soutien financier à des projets en cours portant sur l</w:t>
      </w:r>
      <w:r w:rsidR="000D794D" w:rsidRPr="00DE7940">
        <w:rPr>
          <w:lang w:val="fr-CA"/>
        </w:rPr>
        <w:t>’</w:t>
      </w:r>
      <w:r w:rsidR="00BA6C98" w:rsidRPr="00DE7940">
        <w:rPr>
          <w:lang w:val="fr-CA"/>
        </w:rPr>
        <w:t>extraction minière primaire et les émissions non intentionnelles de mercure.</w:t>
      </w:r>
      <w:r w:rsidR="00524CE1" w:rsidRPr="00DE7940">
        <w:rPr>
          <w:lang w:val="fr-CA"/>
        </w:rPr>
        <w:t xml:space="preserve"> </w:t>
      </w:r>
      <w:r w:rsidR="00CB0CBD" w:rsidRPr="00DE7940">
        <w:rPr>
          <w:lang w:val="fr-CA"/>
        </w:rPr>
        <w:t xml:space="preserve">Le portefeuille du FEM pour la Convention de Minamata offre des possibilités de synergie avec des projets également financés par </w:t>
      </w:r>
      <w:r w:rsidR="00AE340E" w:rsidRPr="00DE7940">
        <w:rPr>
          <w:lang w:val="fr-CA"/>
        </w:rPr>
        <w:t>le FEM</w:t>
      </w:r>
      <w:r w:rsidR="00CB0CBD" w:rsidRPr="00DE7940">
        <w:rPr>
          <w:lang w:val="fr-CA"/>
        </w:rPr>
        <w:t xml:space="preserve"> que le Service Substances chimiques et Déchets est en train d</w:t>
      </w:r>
      <w:r w:rsidR="000D794D" w:rsidRPr="00DE7940">
        <w:rPr>
          <w:lang w:val="fr-CA"/>
        </w:rPr>
        <w:t>’</w:t>
      </w:r>
      <w:r w:rsidR="00CB0CBD" w:rsidRPr="00DE7940">
        <w:rPr>
          <w:lang w:val="fr-CA"/>
        </w:rPr>
        <w:t xml:space="preserve">exécuter </w:t>
      </w:r>
      <w:r w:rsidR="00AE340E" w:rsidRPr="00DE7940">
        <w:rPr>
          <w:lang w:val="fr-CA"/>
        </w:rPr>
        <w:t xml:space="preserve">aux fins de la réalisation des </w:t>
      </w:r>
      <w:r w:rsidR="00CB0CBD" w:rsidRPr="00DE7940">
        <w:rPr>
          <w:lang w:val="fr-CA"/>
        </w:rPr>
        <w:t xml:space="preserve">objectifs de la Convention de Stockholm, tels </w:t>
      </w:r>
      <w:r w:rsidR="00AE340E" w:rsidRPr="00DE7940">
        <w:rPr>
          <w:lang w:val="fr-CA"/>
        </w:rPr>
        <w:t>que ce</w:t>
      </w:r>
      <w:r w:rsidR="00BE7199" w:rsidRPr="00DE7940">
        <w:rPr>
          <w:lang w:val="fr-CA"/>
        </w:rPr>
        <w:t>lui</w:t>
      </w:r>
      <w:r w:rsidR="00AE340E" w:rsidRPr="00DE7940">
        <w:rPr>
          <w:lang w:val="fr-CA"/>
        </w:rPr>
        <w:t xml:space="preserve"> de renforcement des capacités nationales </w:t>
      </w:r>
      <w:r w:rsidR="00BE7199" w:rsidRPr="00DE7940">
        <w:rPr>
          <w:lang w:val="fr-CA"/>
        </w:rPr>
        <w:t xml:space="preserve">en matière </w:t>
      </w:r>
      <w:r w:rsidR="00AE340E" w:rsidRPr="00DE7940">
        <w:rPr>
          <w:lang w:val="fr-CA"/>
        </w:rPr>
        <w:t xml:space="preserve">de mesure des concentrations et de la propagation des polluants organiques persistants et </w:t>
      </w:r>
      <w:r w:rsidR="00BE7199" w:rsidRPr="00DE7940">
        <w:rPr>
          <w:lang w:val="fr-CA"/>
        </w:rPr>
        <w:t xml:space="preserve">celui </w:t>
      </w:r>
      <w:r w:rsidR="00AE340E" w:rsidRPr="00DE7940">
        <w:rPr>
          <w:lang w:val="fr-CA"/>
        </w:rPr>
        <w:t>d</w:t>
      </w:r>
      <w:r w:rsidR="000D794D" w:rsidRPr="00DE7940">
        <w:rPr>
          <w:lang w:val="fr-CA"/>
        </w:rPr>
        <w:t>’</w:t>
      </w:r>
      <w:r w:rsidR="00AE340E" w:rsidRPr="00DE7940">
        <w:rPr>
          <w:lang w:val="fr-CA"/>
        </w:rPr>
        <w:t>appui à l</w:t>
      </w:r>
      <w:r w:rsidR="000D794D" w:rsidRPr="00DE7940">
        <w:rPr>
          <w:lang w:val="fr-CA"/>
        </w:rPr>
        <w:t>’</w:t>
      </w:r>
      <w:r w:rsidR="00AE340E" w:rsidRPr="00DE7940">
        <w:rPr>
          <w:lang w:val="fr-CA"/>
        </w:rPr>
        <w:t>élaboration de feuilles de route nationales pour la mise en œuvre de la Convention.</w:t>
      </w:r>
    </w:p>
    <w:p w:rsidR="00524CE1" w:rsidRPr="00DE7940" w:rsidRDefault="00BE7199" w:rsidP="002961B3">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Partenariat mondial sur le mercure du Programme des Nations Unies pour l</w:t>
      </w:r>
      <w:r w:rsidR="000D794D" w:rsidRPr="00DE7940">
        <w:rPr>
          <w:lang w:val="fr-CA"/>
        </w:rPr>
        <w:t>’</w:t>
      </w:r>
      <w:r w:rsidRPr="00DE7940">
        <w:rPr>
          <w:lang w:val="fr-CA"/>
        </w:rPr>
        <w:t xml:space="preserve">environnement a </w:t>
      </w:r>
      <w:proofErr w:type="spellStart"/>
      <w:r w:rsidRPr="00DE7940">
        <w:rPr>
          <w:lang w:val="fr-CA"/>
        </w:rPr>
        <w:t>contninué</w:t>
      </w:r>
      <w:proofErr w:type="spellEnd"/>
      <w:r w:rsidRPr="00DE7940">
        <w:rPr>
          <w:lang w:val="fr-CA"/>
        </w:rPr>
        <w:t xml:space="preserve"> à faciliter les actions sur le terrain visant à réduire les risques écologiques et sanitaires présentés par le mercure, à titre de contribution à la mise en œuvre de la Convention de Minamata.</w:t>
      </w:r>
      <w:r w:rsidR="00524CE1" w:rsidRPr="00DE7940">
        <w:rPr>
          <w:lang w:val="fr-CA"/>
        </w:rPr>
        <w:t xml:space="preserve"> </w:t>
      </w:r>
      <w:r w:rsidRPr="00DE7940">
        <w:rPr>
          <w:lang w:val="fr-CA"/>
        </w:rPr>
        <w:t xml:space="preserve">La contribution du PNUE </w:t>
      </w:r>
      <w:r w:rsidR="00FC709C" w:rsidRPr="00DE7940">
        <w:rPr>
          <w:lang w:val="fr-CA"/>
        </w:rPr>
        <w:t>à ce</w:t>
      </w:r>
      <w:r w:rsidRPr="00DE7940">
        <w:rPr>
          <w:lang w:val="fr-CA"/>
        </w:rPr>
        <w:t xml:space="preserve"> Partenariat comprend un projet de démonstration de technologies </w:t>
      </w:r>
      <w:r w:rsidR="00FC709C" w:rsidRPr="00DE7940">
        <w:rPr>
          <w:lang w:val="fr-CA"/>
        </w:rPr>
        <w:t xml:space="preserve">sans mercure </w:t>
      </w:r>
      <w:r w:rsidR="00B00EF3" w:rsidRPr="00DE7940">
        <w:rPr>
          <w:lang w:val="fr-CA"/>
        </w:rPr>
        <w:t>pour</w:t>
      </w:r>
      <w:r w:rsidR="00FC709C" w:rsidRPr="00DE7940">
        <w:rPr>
          <w:lang w:val="fr-CA"/>
        </w:rPr>
        <w:t xml:space="preserve"> le secteur de l</w:t>
      </w:r>
      <w:r w:rsidR="000D794D" w:rsidRPr="00DE7940">
        <w:rPr>
          <w:lang w:val="fr-CA"/>
        </w:rPr>
        <w:t>’</w:t>
      </w:r>
      <w:r w:rsidRPr="00DE7940">
        <w:rPr>
          <w:lang w:val="fr-CA"/>
        </w:rPr>
        <w:t>extraction minière d</w:t>
      </w:r>
      <w:r w:rsidR="000D794D" w:rsidRPr="00DE7940">
        <w:rPr>
          <w:lang w:val="fr-CA"/>
        </w:rPr>
        <w:t>’</w:t>
      </w:r>
      <w:r w:rsidRPr="00DE7940">
        <w:rPr>
          <w:lang w:val="fr-CA"/>
        </w:rPr>
        <w:t xml:space="preserve">or </w:t>
      </w:r>
      <w:r w:rsidR="00FC709C" w:rsidRPr="00DE7940">
        <w:rPr>
          <w:lang w:val="fr-CA"/>
        </w:rPr>
        <w:t>en Indonésie; un projet d</w:t>
      </w:r>
      <w:r w:rsidR="00DE7940" w:rsidRPr="00DE7940">
        <w:rPr>
          <w:lang w:val="fr-CA"/>
        </w:rPr>
        <w:t>e réduction</w:t>
      </w:r>
      <w:r w:rsidR="00FC709C" w:rsidRPr="00DE7940">
        <w:rPr>
          <w:lang w:val="fr-CA"/>
        </w:rPr>
        <w:t xml:space="preserve"> de l</w:t>
      </w:r>
      <w:r w:rsidR="000D794D" w:rsidRPr="00DE7940">
        <w:rPr>
          <w:lang w:val="fr-CA"/>
        </w:rPr>
        <w:t>’</w:t>
      </w:r>
      <w:r w:rsidR="00FC709C" w:rsidRPr="00DE7940">
        <w:rPr>
          <w:lang w:val="fr-CA"/>
        </w:rPr>
        <w:t>utilisation d</w:t>
      </w:r>
      <w:r w:rsidR="000D794D" w:rsidRPr="00DE7940">
        <w:rPr>
          <w:lang w:val="fr-CA"/>
        </w:rPr>
        <w:t>’</w:t>
      </w:r>
      <w:r w:rsidR="00FC709C" w:rsidRPr="00DE7940">
        <w:rPr>
          <w:lang w:val="fr-CA"/>
        </w:rPr>
        <w:t xml:space="preserve">amalgames dentaires </w:t>
      </w:r>
      <w:r w:rsidR="00DE7940" w:rsidRPr="00DE7940">
        <w:rPr>
          <w:lang w:val="fr-CA"/>
        </w:rPr>
        <w:t xml:space="preserve">au mercure </w:t>
      </w:r>
      <w:r w:rsidR="00FC709C" w:rsidRPr="00DE7940">
        <w:rPr>
          <w:lang w:val="fr-CA"/>
        </w:rPr>
        <w:t>dans trois pays d</w:t>
      </w:r>
      <w:r w:rsidR="000D794D" w:rsidRPr="00DE7940">
        <w:rPr>
          <w:lang w:val="fr-CA"/>
        </w:rPr>
        <w:t>’</w:t>
      </w:r>
      <w:r w:rsidR="00FC709C" w:rsidRPr="00DE7940">
        <w:rPr>
          <w:lang w:val="fr-CA"/>
        </w:rPr>
        <w:t>Afrique; des ateliers sur l</w:t>
      </w:r>
      <w:r w:rsidR="000D794D" w:rsidRPr="00DE7940">
        <w:rPr>
          <w:lang w:val="fr-CA"/>
        </w:rPr>
        <w:t>’</w:t>
      </w:r>
      <w:r w:rsidR="00FC709C" w:rsidRPr="00DE7940">
        <w:rPr>
          <w:lang w:val="fr-CA"/>
        </w:rPr>
        <w:t xml:space="preserve">utilisation de charbon comme combustible, sur les produits contenant du mercure et sur les déchets de mercure; et </w:t>
      </w:r>
      <w:r w:rsidR="00DE7940" w:rsidRPr="00DE7940">
        <w:rPr>
          <w:lang w:val="fr-CA"/>
        </w:rPr>
        <w:t>l’élaboration d’</w:t>
      </w:r>
      <w:r w:rsidR="00FC709C" w:rsidRPr="00DE7940">
        <w:rPr>
          <w:lang w:val="fr-CA"/>
        </w:rPr>
        <w:t xml:space="preserve">un </w:t>
      </w:r>
      <w:r w:rsidR="00111E62">
        <w:rPr>
          <w:i/>
          <w:lang w:val="fr-CA"/>
        </w:rPr>
        <w:t>M</w:t>
      </w:r>
      <w:r w:rsidR="00FC709C" w:rsidRPr="00111E62">
        <w:rPr>
          <w:i/>
          <w:lang w:val="fr-CA"/>
        </w:rPr>
        <w:t>anuel pratique sur le stockage et l</w:t>
      </w:r>
      <w:r w:rsidR="000D794D" w:rsidRPr="00111E62">
        <w:rPr>
          <w:i/>
          <w:lang w:val="fr-CA"/>
        </w:rPr>
        <w:t>’</w:t>
      </w:r>
      <w:r w:rsidR="00FC709C" w:rsidRPr="00111E62">
        <w:rPr>
          <w:i/>
          <w:lang w:val="fr-CA"/>
        </w:rPr>
        <w:t>élimination des déchets de mercure</w:t>
      </w:r>
      <w:r w:rsidR="00FC709C" w:rsidRPr="00DE7940">
        <w:rPr>
          <w:lang w:val="fr-CA"/>
        </w:rPr>
        <w:t>.</w:t>
      </w:r>
      <w:r w:rsidR="00524CE1" w:rsidRPr="00DE7940">
        <w:rPr>
          <w:lang w:val="fr-CA"/>
        </w:rPr>
        <w:t xml:space="preserve"> </w:t>
      </w:r>
      <w:r w:rsidR="00FC709C" w:rsidRPr="00DE7940">
        <w:rPr>
          <w:lang w:val="fr-CA"/>
        </w:rPr>
        <w:t>Le PNUE assure également la mise en œuvre d</w:t>
      </w:r>
      <w:r w:rsidR="000D794D" w:rsidRPr="00DE7940">
        <w:rPr>
          <w:lang w:val="fr-CA"/>
        </w:rPr>
        <w:t>’</w:t>
      </w:r>
      <w:r w:rsidR="00FC709C" w:rsidRPr="00DE7940">
        <w:rPr>
          <w:lang w:val="fr-CA"/>
        </w:rPr>
        <w:t xml:space="preserve">un certain nombre de projets du FEM dans des domaines tels que la réduction des émissions de mercure </w:t>
      </w:r>
      <w:r w:rsidR="00540219" w:rsidRPr="00DE7940">
        <w:rPr>
          <w:lang w:val="fr-CA"/>
        </w:rPr>
        <w:t>dues à l</w:t>
      </w:r>
      <w:r w:rsidR="000D794D" w:rsidRPr="00DE7940">
        <w:rPr>
          <w:lang w:val="fr-CA"/>
        </w:rPr>
        <w:t>’</w:t>
      </w:r>
      <w:r w:rsidR="00540219" w:rsidRPr="00DE7940">
        <w:rPr>
          <w:lang w:val="fr-CA"/>
        </w:rPr>
        <w:t>utilisation de charbon comme combustible dans le secteur de l</w:t>
      </w:r>
      <w:r w:rsidR="000D794D" w:rsidRPr="00DE7940">
        <w:rPr>
          <w:lang w:val="fr-CA"/>
        </w:rPr>
        <w:t>’</w:t>
      </w:r>
      <w:r w:rsidR="00540219" w:rsidRPr="00DE7940">
        <w:rPr>
          <w:lang w:val="fr-CA"/>
        </w:rPr>
        <w:t xml:space="preserve">énergie de la Fédération de Russie, la réduction des risques </w:t>
      </w:r>
      <w:r w:rsidR="00DE7940" w:rsidRPr="00DE7940">
        <w:rPr>
          <w:lang w:val="fr-CA"/>
        </w:rPr>
        <w:t>associés aux</w:t>
      </w:r>
      <w:r w:rsidR="00540219" w:rsidRPr="00DE7940">
        <w:rPr>
          <w:lang w:val="fr-CA"/>
        </w:rPr>
        <w:t xml:space="preserve"> mines de mercure du Kirghizistan et l</w:t>
      </w:r>
      <w:r w:rsidR="000D794D" w:rsidRPr="00DE7940">
        <w:rPr>
          <w:lang w:val="fr-CA"/>
        </w:rPr>
        <w:t>’</w:t>
      </w:r>
      <w:r w:rsidR="00540219" w:rsidRPr="00DE7940">
        <w:rPr>
          <w:lang w:val="fr-CA"/>
        </w:rPr>
        <w:t>élaboration d</w:t>
      </w:r>
      <w:r w:rsidR="000D794D" w:rsidRPr="00DE7940">
        <w:rPr>
          <w:lang w:val="fr-CA"/>
        </w:rPr>
        <w:t>’</w:t>
      </w:r>
      <w:r w:rsidR="00540219" w:rsidRPr="00DE7940">
        <w:rPr>
          <w:lang w:val="fr-CA"/>
        </w:rPr>
        <w:t>un plan mondial de surveillance du mercure.</w:t>
      </w:r>
      <w:r w:rsidR="00524CE1" w:rsidRPr="00DE7940">
        <w:rPr>
          <w:lang w:val="fr-CA"/>
        </w:rPr>
        <w:t xml:space="preserve"> </w:t>
      </w:r>
      <w:r w:rsidR="00540219" w:rsidRPr="00DE7940">
        <w:rPr>
          <w:lang w:val="fr-CA"/>
        </w:rPr>
        <w:t>Il a organisé des séances d</w:t>
      </w:r>
      <w:r w:rsidR="000D794D" w:rsidRPr="00DE7940">
        <w:rPr>
          <w:lang w:val="fr-CA"/>
        </w:rPr>
        <w:t>’</w:t>
      </w:r>
      <w:r w:rsidR="00540219" w:rsidRPr="00DE7940">
        <w:rPr>
          <w:lang w:val="fr-CA"/>
        </w:rPr>
        <w:t>information sur le Partenariat dans quatre régions, en marge des réunions consultatives régionales sur la Convention de Minamata, en janvier et février 2016, et d</w:t>
      </w:r>
      <w:r w:rsidR="000D794D" w:rsidRPr="00DE7940">
        <w:rPr>
          <w:lang w:val="fr-CA"/>
        </w:rPr>
        <w:t>’</w:t>
      </w:r>
      <w:r w:rsidR="00540219" w:rsidRPr="00DE7940">
        <w:rPr>
          <w:lang w:val="fr-CA"/>
        </w:rPr>
        <w:t>une réunion du Groupe consultatif sur le Partenariat tenue en Jordanie le 8 mars 2016.</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2961B3" w:rsidRPr="00DE7940">
        <w:rPr>
          <w:lang w:val="fr-CA"/>
        </w:rPr>
        <w:t>Approche stratégique de la gestion internationale des produits chimiques</w:t>
      </w:r>
    </w:p>
    <w:p w:rsidR="00524CE1" w:rsidRPr="00DE7940" w:rsidRDefault="002961B3" w:rsidP="002961B3">
      <w:pPr>
        <w:pStyle w:val="Normalnumber"/>
        <w:keepNext/>
        <w:keepLines/>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À sa première session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environnement :</w:t>
      </w:r>
    </w:p>
    <w:p w:rsidR="00524CE1" w:rsidRPr="00DE7940" w:rsidRDefault="002961B3" w:rsidP="0099291F">
      <w:pPr>
        <w:pStyle w:val="Normalnumber"/>
        <w:keepNext/>
        <w:keepLines/>
        <w:numPr>
          <w:ilvl w:val="1"/>
          <w:numId w:val="42"/>
        </w:numPr>
        <w:tabs>
          <w:tab w:val="clear" w:pos="1247"/>
          <w:tab w:val="clear" w:pos="1814"/>
          <w:tab w:val="clear" w:pos="2381"/>
          <w:tab w:val="clear" w:pos="2948"/>
          <w:tab w:val="clear" w:pos="3515"/>
          <w:tab w:val="clear" w:pos="4082"/>
        </w:tabs>
        <w:ind w:left="1248" w:firstLine="624"/>
        <w:rPr>
          <w:lang w:val="fr-CA"/>
        </w:rPr>
      </w:pPr>
      <w:r w:rsidRPr="00DE7940">
        <w:rPr>
          <w:lang w:val="fr-CA"/>
        </w:rPr>
        <w:t>A invité le Groupe de travail à composition non limitée de l</w:t>
      </w:r>
      <w:r w:rsidR="000D794D" w:rsidRPr="00DE7940">
        <w:rPr>
          <w:lang w:val="fr-CA"/>
        </w:rPr>
        <w:t>’</w:t>
      </w:r>
      <w:r w:rsidRPr="00DE7940">
        <w:rPr>
          <w:lang w:val="fr-CA"/>
        </w:rPr>
        <w:t>Approche stratégique, à sa deuxième réunion, et la Conférence internationale sur la gestion des produits chimiques, à sa quatrième session, à examiner les moyens d</w:t>
      </w:r>
      <w:r w:rsidR="000D794D" w:rsidRPr="00DE7940">
        <w:rPr>
          <w:lang w:val="fr-CA"/>
        </w:rPr>
        <w:t>’</w:t>
      </w:r>
      <w:r w:rsidRPr="00DE7940">
        <w:rPr>
          <w:lang w:val="fr-CA"/>
        </w:rPr>
        <w:t>améliorer l</w:t>
      </w:r>
      <w:r w:rsidR="000D794D" w:rsidRPr="00DE7940">
        <w:rPr>
          <w:lang w:val="fr-CA"/>
        </w:rPr>
        <w:t>’</w:t>
      </w:r>
      <w:r w:rsidRPr="00DE7940">
        <w:rPr>
          <w:lang w:val="fr-CA"/>
        </w:rPr>
        <w:t>implication et la participation de toutes les parties prenantes concernées, et par là permettre de s</w:t>
      </w:r>
      <w:r w:rsidR="000D794D" w:rsidRPr="00DE7940">
        <w:rPr>
          <w:lang w:val="fr-CA"/>
        </w:rPr>
        <w:t>’</w:t>
      </w:r>
      <w:r w:rsidRPr="00DE7940">
        <w:rPr>
          <w:lang w:val="fr-CA"/>
        </w:rPr>
        <w:t>attaquer aussi de manière efficace et effective aux questions et défis nouveaux et émergents;</w:t>
      </w:r>
      <w:r w:rsidR="00524CE1" w:rsidRPr="00DE7940">
        <w:rPr>
          <w:lang w:val="fr-CA"/>
        </w:rPr>
        <w:t xml:space="preserve"> </w:t>
      </w:r>
    </w:p>
    <w:p w:rsidR="00524CE1" w:rsidRPr="00DE7940" w:rsidRDefault="002961B3" w:rsidP="0099291F">
      <w:pPr>
        <w:pStyle w:val="Normalnumber"/>
        <w:numPr>
          <w:ilvl w:val="1"/>
          <w:numId w:val="42"/>
        </w:numPr>
        <w:tabs>
          <w:tab w:val="clear" w:pos="1247"/>
          <w:tab w:val="clear" w:pos="1814"/>
          <w:tab w:val="clear" w:pos="2381"/>
          <w:tab w:val="clear" w:pos="2948"/>
          <w:tab w:val="clear" w:pos="3515"/>
          <w:tab w:val="clear" w:pos="4082"/>
        </w:tabs>
        <w:ind w:left="1248" w:firstLine="624"/>
        <w:rPr>
          <w:lang w:val="fr-CA"/>
        </w:rPr>
      </w:pPr>
      <w:r w:rsidRPr="00DE7940">
        <w:rPr>
          <w:lang w:val="fr-CA"/>
        </w:rPr>
        <w:t>A prié le Directeur exécutif de continuer à soutenir l</w:t>
      </w:r>
      <w:r w:rsidR="000D794D" w:rsidRPr="00DE7940">
        <w:rPr>
          <w:lang w:val="fr-CA"/>
        </w:rPr>
        <w:t>’</w:t>
      </w:r>
      <w:r w:rsidRPr="00DE7940">
        <w:rPr>
          <w:lang w:val="fr-CA"/>
        </w:rPr>
        <w:t>Approche stratégique, y compris dans l</w:t>
      </w:r>
      <w:r w:rsidR="000D794D" w:rsidRPr="00DE7940">
        <w:rPr>
          <w:lang w:val="fr-CA"/>
        </w:rPr>
        <w:t>’</w:t>
      </w:r>
      <w:r w:rsidRPr="00DE7940">
        <w:rPr>
          <w:lang w:val="fr-CA"/>
        </w:rPr>
        <w:t>élaboration d</w:t>
      </w:r>
      <w:r w:rsidR="000D794D" w:rsidRPr="00DE7940">
        <w:rPr>
          <w:lang w:val="fr-CA"/>
        </w:rPr>
        <w:t>’</w:t>
      </w:r>
      <w:r w:rsidRPr="00DE7940">
        <w:rPr>
          <w:lang w:val="fr-CA"/>
        </w:rPr>
        <w:t>orientations et la fourniture de conseils en vue d</w:t>
      </w:r>
      <w:r w:rsidR="000D794D" w:rsidRPr="00DE7940">
        <w:rPr>
          <w:lang w:val="fr-CA"/>
        </w:rPr>
        <w:t>’</w:t>
      </w:r>
      <w:r w:rsidRPr="00DE7940">
        <w:rPr>
          <w:lang w:val="fr-CA"/>
        </w:rPr>
        <w:t>atteindre l</w:t>
      </w:r>
      <w:r w:rsidR="000D794D" w:rsidRPr="00DE7940">
        <w:rPr>
          <w:lang w:val="fr-CA"/>
        </w:rPr>
        <w:t>’</w:t>
      </w:r>
      <w:r w:rsidRPr="00DE7940">
        <w:rPr>
          <w:lang w:val="fr-CA"/>
        </w:rPr>
        <w:t>objectif fixé pour 2020;</w:t>
      </w:r>
    </w:p>
    <w:p w:rsidR="00524CE1" w:rsidRPr="00DE7940" w:rsidRDefault="002961B3" w:rsidP="0099291F">
      <w:pPr>
        <w:pStyle w:val="Normalnumber"/>
        <w:numPr>
          <w:ilvl w:val="1"/>
          <w:numId w:val="42"/>
        </w:numPr>
        <w:tabs>
          <w:tab w:val="clear" w:pos="1247"/>
          <w:tab w:val="clear" w:pos="1814"/>
          <w:tab w:val="clear" w:pos="2381"/>
          <w:tab w:val="clear" w:pos="2948"/>
          <w:tab w:val="clear" w:pos="3515"/>
          <w:tab w:val="clear" w:pos="4082"/>
        </w:tabs>
        <w:ind w:left="1248" w:firstLine="624"/>
        <w:rPr>
          <w:lang w:val="fr-CA"/>
        </w:rPr>
      </w:pPr>
      <w:r w:rsidRPr="00DE7940">
        <w:rPr>
          <w:lang w:val="fr-CA"/>
        </w:rPr>
        <w:t>A invité le Directeur général de l</w:t>
      </w:r>
      <w:r w:rsidR="000D794D" w:rsidRPr="00DE7940">
        <w:rPr>
          <w:lang w:val="fr-CA"/>
        </w:rPr>
        <w:t>’</w:t>
      </w:r>
      <w:r w:rsidRPr="00DE7940">
        <w:rPr>
          <w:lang w:val="fr-CA"/>
        </w:rPr>
        <w:t>Organisation mondiale de la Santé à jouer un rôle de chef de file dans le cadre de l</w:t>
      </w:r>
      <w:r w:rsidR="000D794D" w:rsidRPr="00DE7940">
        <w:rPr>
          <w:lang w:val="fr-CA"/>
        </w:rPr>
        <w:t>’</w:t>
      </w:r>
      <w:r w:rsidRPr="00DE7940">
        <w:rPr>
          <w:lang w:val="fr-CA"/>
        </w:rPr>
        <w:t>Approche stratégique et à fournir à son secrétariat le personnel approprié et d</w:t>
      </w:r>
      <w:r w:rsidR="000D794D" w:rsidRPr="00DE7940">
        <w:rPr>
          <w:lang w:val="fr-CA"/>
        </w:rPr>
        <w:t>’</w:t>
      </w:r>
      <w:r w:rsidRPr="00DE7940">
        <w:rPr>
          <w:lang w:val="fr-CA"/>
        </w:rPr>
        <w:t>autres ressources, et a prié le Directeur exécutif de transmettre cette invitation à la prochaine réunion du Conseil exécutif de l</w:t>
      </w:r>
      <w:r w:rsidR="000D794D" w:rsidRPr="00DE7940">
        <w:rPr>
          <w:lang w:val="fr-CA"/>
        </w:rPr>
        <w:t>’</w:t>
      </w:r>
      <w:r w:rsidRPr="00DE7940">
        <w:rPr>
          <w:lang w:val="fr-CA"/>
        </w:rPr>
        <w:t>OMS;</w:t>
      </w:r>
    </w:p>
    <w:p w:rsidR="00524CE1" w:rsidRPr="00DE7940" w:rsidRDefault="002961B3" w:rsidP="0099291F">
      <w:pPr>
        <w:pStyle w:val="Normalnumber"/>
        <w:numPr>
          <w:ilvl w:val="1"/>
          <w:numId w:val="42"/>
        </w:numPr>
        <w:tabs>
          <w:tab w:val="clear" w:pos="1247"/>
          <w:tab w:val="clear" w:pos="1814"/>
          <w:tab w:val="clear" w:pos="2381"/>
          <w:tab w:val="clear" w:pos="2948"/>
          <w:tab w:val="clear" w:pos="3515"/>
          <w:tab w:val="clear" w:pos="4082"/>
        </w:tabs>
        <w:ind w:left="1248" w:firstLine="624"/>
        <w:rPr>
          <w:lang w:val="fr-CA"/>
        </w:rPr>
      </w:pPr>
      <w:r w:rsidRPr="00DE7940">
        <w:rPr>
          <w:lang w:val="fr-CA"/>
        </w:rPr>
        <w:t xml:space="preserve">A invité les organisations participant </w:t>
      </w:r>
      <w:r w:rsidR="009B51ED" w:rsidRPr="00DE7940">
        <w:rPr>
          <w:lang w:val="fr-CA"/>
        </w:rPr>
        <w:t>à l</w:t>
      </w:r>
      <w:r w:rsidR="000D794D" w:rsidRPr="00DE7940">
        <w:rPr>
          <w:lang w:val="fr-CA"/>
        </w:rPr>
        <w:t>’</w:t>
      </w:r>
      <w:r w:rsidR="009B51ED" w:rsidRPr="00DE7940">
        <w:rPr>
          <w:lang w:val="fr-CA"/>
        </w:rPr>
        <w:t>IOMC</w:t>
      </w:r>
      <w:r w:rsidRPr="00DE7940">
        <w:rPr>
          <w:lang w:val="fr-CA"/>
        </w:rPr>
        <w:t xml:space="preserve"> à examiner les moyens de soutenir le secrétariat de l</w:t>
      </w:r>
      <w:r w:rsidR="000D794D" w:rsidRPr="00DE7940">
        <w:rPr>
          <w:lang w:val="fr-CA"/>
        </w:rPr>
        <w:t>’</w:t>
      </w:r>
      <w:r w:rsidRPr="00DE7940">
        <w:rPr>
          <w:lang w:val="fr-CA"/>
        </w:rPr>
        <w:t>Approche stratégique, y compris un soutien en personnel;</w:t>
      </w:r>
    </w:p>
    <w:p w:rsidR="00524CE1" w:rsidRPr="00DE7940" w:rsidRDefault="002961B3" w:rsidP="0099291F">
      <w:pPr>
        <w:pStyle w:val="Normalnumber"/>
        <w:numPr>
          <w:ilvl w:val="1"/>
          <w:numId w:val="42"/>
        </w:numPr>
        <w:tabs>
          <w:tab w:val="clear" w:pos="1247"/>
          <w:tab w:val="clear" w:pos="1814"/>
          <w:tab w:val="clear" w:pos="2381"/>
          <w:tab w:val="clear" w:pos="2948"/>
          <w:tab w:val="clear" w:pos="3515"/>
          <w:tab w:val="clear" w:pos="4082"/>
        </w:tabs>
        <w:ind w:left="1248" w:firstLine="624"/>
        <w:rPr>
          <w:lang w:val="fr-CA"/>
        </w:rPr>
      </w:pPr>
      <w:r w:rsidRPr="00DE7940">
        <w:rPr>
          <w:lang w:val="fr-CA"/>
        </w:rPr>
        <w:t>A invité les gouvernements, les organisations intergouvernementales, l</w:t>
      </w:r>
      <w:r w:rsidR="000D794D" w:rsidRPr="00DE7940">
        <w:rPr>
          <w:lang w:val="fr-CA"/>
        </w:rPr>
        <w:t>’</w:t>
      </w:r>
      <w:r w:rsidRPr="00DE7940">
        <w:rPr>
          <w:lang w:val="fr-CA"/>
        </w:rPr>
        <w:t>industrie, la société civile et les autres parties prenantes de l</w:t>
      </w:r>
      <w:r w:rsidR="000D794D" w:rsidRPr="00DE7940">
        <w:rPr>
          <w:lang w:val="fr-CA"/>
        </w:rPr>
        <w:t>’</w:t>
      </w:r>
      <w:r w:rsidRPr="00DE7940">
        <w:rPr>
          <w:lang w:val="fr-CA"/>
        </w:rPr>
        <w:t>Approche stratégique à soutenir la mise en œuvre et l</w:t>
      </w:r>
      <w:r w:rsidR="000D794D" w:rsidRPr="00DE7940">
        <w:rPr>
          <w:lang w:val="fr-CA"/>
        </w:rPr>
        <w:t>’</w:t>
      </w:r>
      <w:r w:rsidRPr="00DE7940">
        <w:rPr>
          <w:lang w:val="fr-CA"/>
        </w:rPr>
        <w:t>élaboration plus poussée de l</w:t>
      </w:r>
      <w:r w:rsidR="000D794D" w:rsidRPr="00DE7940">
        <w:rPr>
          <w:lang w:val="fr-CA"/>
        </w:rPr>
        <w:t>’</w:t>
      </w:r>
      <w:r w:rsidRPr="00DE7940">
        <w:rPr>
          <w:lang w:val="fr-CA"/>
        </w:rPr>
        <w:t>Approche stratégique;</w:t>
      </w:r>
      <w:r w:rsidR="00524CE1" w:rsidRPr="00DE7940">
        <w:rPr>
          <w:lang w:val="fr-CA"/>
        </w:rPr>
        <w:t xml:space="preserve"> </w:t>
      </w:r>
    </w:p>
    <w:p w:rsidR="00524CE1" w:rsidRPr="00DE7940" w:rsidRDefault="002961B3" w:rsidP="00111E62">
      <w:pPr>
        <w:pStyle w:val="Normalnumber"/>
        <w:keepNext/>
        <w:keepLines/>
        <w:numPr>
          <w:ilvl w:val="1"/>
          <w:numId w:val="42"/>
        </w:numPr>
        <w:tabs>
          <w:tab w:val="clear" w:pos="1247"/>
          <w:tab w:val="clear" w:pos="1814"/>
          <w:tab w:val="clear" w:pos="2381"/>
          <w:tab w:val="clear" w:pos="2948"/>
          <w:tab w:val="clear" w:pos="3515"/>
          <w:tab w:val="clear" w:pos="4082"/>
        </w:tabs>
        <w:ind w:left="1247" w:firstLine="624"/>
        <w:rPr>
          <w:lang w:val="fr-CA"/>
        </w:rPr>
      </w:pPr>
      <w:r w:rsidRPr="00DE7940">
        <w:rPr>
          <w:lang w:val="fr-CA"/>
        </w:rPr>
        <w:lastRenderedPageBreak/>
        <w:t>A instamment demandé aux gouvernements, aux organisations intergouvernementales, aux organisations non gouvernementales, aux industries et autres intéressés en mesure de le faire d</w:t>
      </w:r>
      <w:r w:rsidR="000D794D" w:rsidRPr="00DE7940">
        <w:rPr>
          <w:lang w:val="fr-CA"/>
        </w:rPr>
        <w:t>’</w:t>
      </w:r>
      <w:r w:rsidRPr="00DE7940">
        <w:rPr>
          <w:lang w:val="fr-CA"/>
        </w:rPr>
        <w:t>apporter des contributions financières ou en nature à l</w:t>
      </w:r>
      <w:r w:rsidR="000D794D" w:rsidRPr="00DE7940">
        <w:rPr>
          <w:lang w:val="fr-CA"/>
        </w:rPr>
        <w:t>’</w:t>
      </w:r>
      <w:r w:rsidRPr="00DE7940">
        <w:rPr>
          <w:lang w:val="fr-CA"/>
        </w:rPr>
        <w:t xml:space="preserve">Approche stratégique, à son secrétariat et à sa mise en œuvre, notamment par le biais du programme de travail des participants </w:t>
      </w:r>
      <w:r w:rsidR="009B51ED" w:rsidRPr="00DE7940">
        <w:rPr>
          <w:lang w:val="fr-CA"/>
        </w:rPr>
        <w:t>à l</w:t>
      </w:r>
      <w:r w:rsidR="000D794D" w:rsidRPr="00DE7940">
        <w:rPr>
          <w:lang w:val="fr-CA"/>
        </w:rPr>
        <w:t>’</w:t>
      </w:r>
      <w:r w:rsidR="009B51ED" w:rsidRPr="00DE7940">
        <w:rPr>
          <w:lang w:val="fr-CA"/>
        </w:rPr>
        <w:t>IOMC</w:t>
      </w:r>
      <w:r w:rsidRPr="00DE7940">
        <w:rPr>
          <w:lang w:val="fr-CA"/>
        </w:rPr>
        <w:t>.</w:t>
      </w:r>
    </w:p>
    <w:p w:rsidR="00524CE1" w:rsidRPr="00DE7940" w:rsidRDefault="002961B3" w:rsidP="00DE7940">
      <w:pPr>
        <w:pStyle w:val="CH2"/>
        <w:ind w:hanging="623"/>
        <w:rPr>
          <w:lang w:val="fr-CA"/>
        </w:rPr>
      </w:pPr>
      <w:r w:rsidRPr="00DE7940">
        <w:rPr>
          <w:lang w:val="fr-CA"/>
        </w:rPr>
        <w:t>A.</w:t>
      </w:r>
      <w:r w:rsidR="00524CE1" w:rsidRPr="00DE7940">
        <w:rPr>
          <w:lang w:val="fr-CA"/>
        </w:rPr>
        <w:tab/>
      </w:r>
      <w:r w:rsidRPr="00DE7940">
        <w:rPr>
          <w:lang w:val="fr-CA"/>
        </w:rPr>
        <w:t xml:space="preserve">Résultats de la quatrième session de la Conférence internationale </w:t>
      </w:r>
      <w:r w:rsidR="00111E62">
        <w:rPr>
          <w:lang w:val="fr-CA"/>
        </w:rPr>
        <w:br/>
      </w:r>
      <w:r w:rsidRPr="00DE7940">
        <w:rPr>
          <w:lang w:val="fr-CA"/>
        </w:rPr>
        <w:t>sur la gestion des produits chimiques</w:t>
      </w:r>
    </w:p>
    <w:p w:rsidR="00524CE1" w:rsidRPr="00DE7940" w:rsidRDefault="007E72E4" w:rsidP="004E2494">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La quatrième session de la Conférence internationale sur la gestion des produits chimiques s</w:t>
      </w:r>
      <w:r w:rsidR="000D794D" w:rsidRPr="00DE7940">
        <w:rPr>
          <w:lang w:val="fr-CA"/>
        </w:rPr>
        <w:t>’</w:t>
      </w:r>
      <w:r w:rsidRPr="00DE7940">
        <w:rPr>
          <w:lang w:val="fr-CA"/>
        </w:rPr>
        <w:t xml:space="preserve">est tenue à Genève du 28 septembre au 2 octobre 2015. Elle a rassemblé plus de 750 représentants </w:t>
      </w:r>
      <w:r w:rsidR="00063EE3" w:rsidRPr="00DE7940">
        <w:rPr>
          <w:lang w:val="fr-CA"/>
        </w:rPr>
        <w:t xml:space="preserve">de gouvernements, </w:t>
      </w:r>
      <w:r w:rsidRPr="00DE7940">
        <w:rPr>
          <w:lang w:val="fr-CA"/>
        </w:rPr>
        <w:t>d</w:t>
      </w:r>
      <w:r w:rsidR="000D794D" w:rsidRPr="00DE7940">
        <w:rPr>
          <w:lang w:val="fr-CA"/>
        </w:rPr>
        <w:t>’</w:t>
      </w:r>
      <w:r w:rsidRPr="00DE7940">
        <w:rPr>
          <w:lang w:val="fr-CA"/>
        </w:rPr>
        <w:t>organisations intergouvernementales, de l</w:t>
      </w:r>
      <w:r w:rsidR="000D794D" w:rsidRPr="00DE7940">
        <w:rPr>
          <w:lang w:val="fr-CA"/>
        </w:rPr>
        <w:t>’</w:t>
      </w:r>
      <w:r w:rsidRPr="00DE7940">
        <w:rPr>
          <w:lang w:val="fr-CA"/>
        </w:rPr>
        <w:t>industrie et de la société civile</w:t>
      </w:r>
      <w:r w:rsidR="00063EE3" w:rsidRPr="00DE7940">
        <w:rPr>
          <w:lang w:val="fr-CA"/>
        </w:rPr>
        <w:t>, et</w:t>
      </w:r>
      <w:r w:rsidRPr="00DE7940">
        <w:rPr>
          <w:lang w:val="fr-CA"/>
        </w:rPr>
        <w:t xml:space="preserve"> </w:t>
      </w:r>
      <w:r w:rsidR="00063EE3" w:rsidRPr="00DE7940">
        <w:rPr>
          <w:lang w:val="fr-CA"/>
        </w:rPr>
        <w:t>a comp</w:t>
      </w:r>
      <w:r w:rsidR="004E2494" w:rsidRPr="00DE7940">
        <w:rPr>
          <w:lang w:val="fr-CA"/>
        </w:rPr>
        <w:t>orté</w:t>
      </w:r>
      <w:r w:rsidR="00063EE3" w:rsidRPr="00DE7940">
        <w:rPr>
          <w:lang w:val="fr-CA"/>
        </w:rPr>
        <w:t xml:space="preserve"> un </w:t>
      </w:r>
      <w:r w:rsidRPr="00DE7940">
        <w:rPr>
          <w:lang w:val="fr-CA"/>
        </w:rPr>
        <w:t>segment de haut niveau auquel ont participé des ministres, des directeurs d</w:t>
      </w:r>
      <w:r w:rsidR="000D794D" w:rsidRPr="00DE7940">
        <w:rPr>
          <w:lang w:val="fr-CA"/>
        </w:rPr>
        <w:t>’</w:t>
      </w:r>
      <w:r w:rsidRPr="00DE7940">
        <w:rPr>
          <w:lang w:val="fr-CA"/>
        </w:rPr>
        <w:t>institutions et d</w:t>
      </w:r>
      <w:r w:rsidR="000D794D" w:rsidRPr="00DE7940">
        <w:rPr>
          <w:lang w:val="fr-CA"/>
        </w:rPr>
        <w:t>’</w:t>
      </w:r>
      <w:r w:rsidRPr="00DE7940">
        <w:rPr>
          <w:lang w:val="fr-CA"/>
        </w:rPr>
        <w:t>organisations et de</w:t>
      </w:r>
      <w:r w:rsidR="00063EE3" w:rsidRPr="00DE7940">
        <w:rPr>
          <w:lang w:val="fr-CA"/>
        </w:rPr>
        <w:t>s</w:t>
      </w:r>
      <w:r w:rsidRPr="00DE7940">
        <w:rPr>
          <w:lang w:val="fr-CA"/>
        </w:rPr>
        <w:t xml:space="preserve"> représentants </w:t>
      </w:r>
      <w:r w:rsidR="00063EE3" w:rsidRPr="00DE7940">
        <w:rPr>
          <w:lang w:val="fr-CA"/>
        </w:rPr>
        <w:t xml:space="preserve">de haut rang </w:t>
      </w:r>
      <w:r w:rsidRPr="00DE7940">
        <w:rPr>
          <w:lang w:val="fr-CA"/>
        </w:rPr>
        <w:t>des grands groupes et des parties prenantes, y compris l</w:t>
      </w:r>
      <w:r w:rsidR="000D794D" w:rsidRPr="00DE7940">
        <w:rPr>
          <w:lang w:val="fr-CA"/>
        </w:rPr>
        <w:t>’</w:t>
      </w:r>
      <w:r w:rsidRPr="00DE7940">
        <w:rPr>
          <w:lang w:val="fr-CA"/>
        </w:rPr>
        <w:t>industrie.</w:t>
      </w:r>
    </w:p>
    <w:p w:rsidR="00524CE1" w:rsidRPr="00DE7940" w:rsidRDefault="004E2494" w:rsidP="004E2494">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Cette quatrième session s</w:t>
      </w:r>
      <w:r w:rsidR="000D794D" w:rsidRPr="00DE7940">
        <w:rPr>
          <w:lang w:val="fr-CA"/>
        </w:rPr>
        <w:t>’</w:t>
      </w:r>
      <w:r w:rsidRPr="00DE7940">
        <w:rPr>
          <w:lang w:val="fr-CA"/>
        </w:rPr>
        <w:t>est conclue par l</w:t>
      </w:r>
      <w:r w:rsidR="000D794D" w:rsidRPr="00DE7940">
        <w:rPr>
          <w:lang w:val="fr-CA"/>
        </w:rPr>
        <w:t>’</w:t>
      </w:r>
      <w:r w:rsidRPr="00DE7940">
        <w:rPr>
          <w:lang w:val="fr-CA"/>
        </w:rPr>
        <w:t>adoption d</w:t>
      </w:r>
      <w:r w:rsidR="00DE7940" w:rsidRPr="00DE7940">
        <w:rPr>
          <w:lang w:val="fr-CA"/>
        </w:rPr>
        <w:t>es cinq</w:t>
      </w:r>
      <w:r w:rsidRPr="00DE7940">
        <w:rPr>
          <w:lang w:val="fr-CA"/>
        </w:rPr>
        <w:t xml:space="preserve"> ré</w:t>
      </w:r>
      <w:r w:rsidR="007B6FB1" w:rsidRPr="00DE7940">
        <w:rPr>
          <w:lang w:val="fr-CA"/>
        </w:rPr>
        <w:t>s</w:t>
      </w:r>
      <w:r w:rsidRPr="00DE7940">
        <w:rPr>
          <w:lang w:val="fr-CA"/>
        </w:rPr>
        <w:t>olution</w:t>
      </w:r>
      <w:r w:rsidR="00DE7940" w:rsidRPr="00DE7940">
        <w:rPr>
          <w:lang w:val="fr-CA"/>
        </w:rPr>
        <w:t>s</w:t>
      </w:r>
      <w:r w:rsidRPr="00DE7940">
        <w:rPr>
          <w:lang w:val="fr-CA"/>
        </w:rPr>
        <w:t xml:space="preserve"> su</w:t>
      </w:r>
      <w:r w:rsidR="00DE7940" w:rsidRPr="00DE7940">
        <w:rPr>
          <w:lang w:val="fr-CA"/>
        </w:rPr>
        <w:t>ivantes</w:t>
      </w:r>
      <w:r w:rsidRPr="00DE7940">
        <w:rPr>
          <w:lang w:val="fr-CA"/>
        </w:rPr>
        <w:t> :</w:t>
      </w:r>
    </w:p>
    <w:p w:rsidR="00524CE1" w:rsidRPr="00DE7940" w:rsidRDefault="007B6FB1" w:rsidP="0099291F">
      <w:pPr>
        <w:pStyle w:val="Normalnumber"/>
        <w:numPr>
          <w:ilvl w:val="1"/>
          <w:numId w:val="43"/>
        </w:numPr>
        <w:tabs>
          <w:tab w:val="clear" w:pos="1247"/>
          <w:tab w:val="clear" w:pos="1814"/>
          <w:tab w:val="clear" w:pos="2381"/>
          <w:tab w:val="clear" w:pos="2948"/>
          <w:tab w:val="clear" w:pos="3515"/>
          <w:tab w:val="clear" w:pos="4082"/>
        </w:tabs>
        <w:ind w:left="1248" w:firstLine="624"/>
        <w:rPr>
          <w:bCs/>
          <w:lang w:val="fr-CA"/>
        </w:rPr>
      </w:pPr>
      <w:r w:rsidRPr="00DE7940">
        <w:rPr>
          <w:lang w:val="fr-CA"/>
        </w:rPr>
        <w:t>L</w:t>
      </w:r>
      <w:r w:rsidR="00DE7940" w:rsidRPr="00DE7940">
        <w:rPr>
          <w:lang w:val="fr-CA"/>
        </w:rPr>
        <w:t>a résolution IV/1 sur l</w:t>
      </w:r>
      <w:r w:rsidRPr="00DE7940">
        <w:rPr>
          <w:lang w:val="fr-CA"/>
        </w:rPr>
        <w:t>es activités menées aux fins de la réalisation de l</w:t>
      </w:r>
      <w:r w:rsidR="000D794D" w:rsidRPr="00DE7940">
        <w:rPr>
          <w:lang w:val="fr-CA"/>
        </w:rPr>
        <w:t>’</w:t>
      </w:r>
      <w:r w:rsidRPr="00DE7940">
        <w:rPr>
          <w:lang w:val="fr-CA"/>
        </w:rPr>
        <w:t xml:space="preserve">objectif fixé pour 2020 </w:t>
      </w:r>
      <w:r w:rsidR="00B06E09" w:rsidRPr="00DE7940">
        <w:rPr>
          <w:lang w:val="fr-CA"/>
        </w:rPr>
        <w:t xml:space="preserve">qui, entre autres, </w:t>
      </w:r>
      <w:r w:rsidR="00E62543" w:rsidRPr="00DE7940">
        <w:rPr>
          <w:lang w:val="fr-CA"/>
        </w:rPr>
        <w:t>approuv</w:t>
      </w:r>
      <w:r w:rsidR="00B06E09" w:rsidRPr="00DE7940">
        <w:rPr>
          <w:lang w:val="fr-CA"/>
        </w:rPr>
        <w:t>e</w:t>
      </w:r>
      <w:r w:rsidR="00E62543" w:rsidRPr="00DE7940">
        <w:rPr>
          <w:lang w:val="fr-CA"/>
        </w:rPr>
        <w:t xml:space="preserve"> les orientations générales et directives</w:t>
      </w:r>
      <w:r w:rsidR="000D794D" w:rsidRPr="00DE7940">
        <w:rPr>
          <w:lang w:val="fr-CA"/>
        </w:rPr>
        <w:t xml:space="preserve"> </w:t>
      </w:r>
      <w:r w:rsidR="000D794D" w:rsidRPr="00DE7940">
        <w:rPr>
          <w:bCs/>
          <w:lang w:val="fr-CA"/>
        </w:rPr>
        <w:t>(SAICM/ICCM.4/6, annexe)</w:t>
      </w:r>
      <w:r w:rsidR="00E62543" w:rsidRPr="00DE7940">
        <w:rPr>
          <w:lang w:val="fr-CA"/>
        </w:rPr>
        <w:t xml:space="preserve"> dans lesquelles sont clairement énoncées les mesures </w:t>
      </w:r>
      <w:r w:rsidR="00B06E09" w:rsidRPr="00DE7940">
        <w:rPr>
          <w:lang w:val="fr-CA"/>
        </w:rPr>
        <w:t xml:space="preserve">que doivent </w:t>
      </w:r>
      <w:r w:rsidR="00E62543" w:rsidRPr="00DE7940">
        <w:rPr>
          <w:lang w:val="fr-CA"/>
        </w:rPr>
        <w:t>prendre toutes les parties prenantes de l</w:t>
      </w:r>
      <w:r w:rsidR="000D794D" w:rsidRPr="00DE7940">
        <w:rPr>
          <w:lang w:val="fr-CA"/>
        </w:rPr>
        <w:t>’</w:t>
      </w:r>
      <w:r w:rsidR="00E62543" w:rsidRPr="00DE7940">
        <w:rPr>
          <w:lang w:val="fr-CA"/>
        </w:rPr>
        <w:t>Approche stratégique pour réaliser l</w:t>
      </w:r>
      <w:r w:rsidR="000D794D" w:rsidRPr="00DE7940">
        <w:rPr>
          <w:lang w:val="fr-CA"/>
        </w:rPr>
        <w:t>’</w:t>
      </w:r>
      <w:r w:rsidR="00E62543" w:rsidRPr="00DE7940">
        <w:rPr>
          <w:lang w:val="fr-CA"/>
        </w:rPr>
        <w:t>objectif à l</w:t>
      </w:r>
      <w:r w:rsidR="000D794D" w:rsidRPr="00DE7940">
        <w:rPr>
          <w:lang w:val="fr-CA"/>
        </w:rPr>
        <w:t>’</w:t>
      </w:r>
      <w:r w:rsidR="00E62543" w:rsidRPr="00DE7940">
        <w:rPr>
          <w:lang w:val="fr-CA"/>
        </w:rPr>
        <w:t>horizon 2020;</w:t>
      </w:r>
    </w:p>
    <w:p w:rsidR="00524CE1" w:rsidRPr="00DE7940" w:rsidRDefault="00B06E09" w:rsidP="0099291F">
      <w:pPr>
        <w:pStyle w:val="Normalnumber"/>
        <w:numPr>
          <w:ilvl w:val="1"/>
          <w:numId w:val="43"/>
        </w:numPr>
        <w:tabs>
          <w:tab w:val="clear" w:pos="1247"/>
          <w:tab w:val="clear" w:pos="1814"/>
          <w:tab w:val="clear" w:pos="2381"/>
          <w:tab w:val="clear" w:pos="2948"/>
          <w:tab w:val="clear" w:pos="3515"/>
          <w:tab w:val="clear" w:pos="4082"/>
        </w:tabs>
        <w:ind w:left="1248" w:firstLine="624"/>
        <w:rPr>
          <w:bCs/>
          <w:lang w:val="fr-CA"/>
        </w:rPr>
      </w:pPr>
      <w:r w:rsidRPr="00DE7940">
        <w:rPr>
          <w:rFonts w:eastAsia="Cambria"/>
          <w:lang w:val="fr-CA"/>
        </w:rPr>
        <w:t>L</w:t>
      </w:r>
      <w:r w:rsidR="00DE7940" w:rsidRPr="00DE7940">
        <w:rPr>
          <w:rFonts w:eastAsia="Cambria"/>
          <w:lang w:val="fr-CA"/>
        </w:rPr>
        <w:t>a résolution IV/4 sur l</w:t>
      </w:r>
      <w:r w:rsidR="000D794D" w:rsidRPr="00DE7940">
        <w:rPr>
          <w:rFonts w:eastAsia="Cambria"/>
          <w:lang w:val="fr-CA"/>
        </w:rPr>
        <w:t>’</w:t>
      </w:r>
      <w:r w:rsidRPr="00DE7940">
        <w:rPr>
          <w:rFonts w:eastAsia="Cambria"/>
          <w:lang w:val="fr-CA"/>
        </w:rPr>
        <w:t>Approche stratégique et la gestion rationnelle des produits chimiques et des déchets au-delà de 2020 qui, entre autres, prévoit le lancement d</w:t>
      </w:r>
      <w:r w:rsidR="000D794D" w:rsidRPr="00DE7940">
        <w:rPr>
          <w:rFonts w:eastAsia="Cambria"/>
          <w:lang w:val="fr-CA"/>
        </w:rPr>
        <w:t>’</w:t>
      </w:r>
      <w:r w:rsidRPr="00DE7940">
        <w:rPr>
          <w:rFonts w:eastAsia="Cambria"/>
          <w:lang w:val="fr-CA"/>
        </w:rPr>
        <w:t>un processus intersessions</w:t>
      </w:r>
      <w:r w:rsidR="0045325A" w:rsidRPr="00DE7940">
        <w:rPr>
          <w:rFonts w:eastAsia="Cambria"/>
          <w:lang w:val="fr-CA"/>
        </w:rPr>
        <w:t xml:space="preserve"> </w:t>
      </w:r>
      <w:r w:rsidRPr="00DE7940">
        <w:rPr>
          <w:rFonts w:eastAsia="Cambria"/>
          <w:lang w:val="fr-CA"/>
        </w:rPr>
        <w:t>pour élaborer des recommandations concernant l</w:t>
      </w:r>
      <w:r w:rsidR="000D794D" w:rsidRPr="00DE7940">
        <w:rPr>
          <w:rFonts w:eastAsia="Cambria"/>
          <w:lang w:val="fr-CA"/>
        </w:rPr>
        <w:t>’</w:t>
      </w:r>
      <w:r w:rsidRPr="00DE7940">
        <w:rPr>
          <w:rFonts w:eastAsia="Cambria"/>
          <w:lang w:val="fr-CA"/>
        </w:rPr>
        <w:t>Approche stratégique et la gestion rationnelle des produits chimiques et des déchets</w:t>
      </w:r>
      <w:r w:rsidR="0045325A" w:rsidRPr="00DE7940">
        <w:rPr>
          <w:rFonts w:eastAsia="Cambria"/>
          <w:lang w:val="fr-CA"/>
        </w:rPr>
        <w:t xml:space="preserve"> au-delà de 2020</w:t>
      </w:r>
      <w:r w:rsidRPr="00DE7940">
        <w:rPr>
          <w:rFonts w:eastAsia="Cambria"/>
          <w:lang w:val="fr-CA"/>
        </w:rPr>
        <w:t>;</w:t>
      </w:r>
    </w:p>
    <w:p w:rsidR="00524CE1" w:rsidRPr="00DE7940" w:rsidRDefault="00C45EF7" w:rsidP="0099291F">
      <w:pPr>
        <w:pStyle w:val="Normalnumber"/>
        <w:numPr>
          <w:ilvl w:val="1"/>
          <w:numId w:val="43"/>
        </w:numPr>
        <w:tabs>
          <w:tab w:val="clear" w:pos="1247"/>
          <w:tab w:val="clear" w:pos="1814"/>
          <w:tab w:val="clear" w:pos="2381"/>
          <w:tab w:val="clear" w:pos="2948"/>
          <w:tab w:val="clear" w:pos="3515"/>
          <w:tab w:val="clear" w:pos="4082"/>
        </w:tabs>
        <w:ind w:left="1248" w:firstLine="624"/>
        <w:rPr>
          <w:bCs/>
          <w:lang w:val="fr-CA"/>
        </w:rPr>
      </w:pPr>
      <w:r w:rsidRPr="00DE7940">
        <w:rPr>
          <w:rFonts w:eastAsia="Cambria"/>
          <w:lang w:val="fr-CA"/>
        </w:rPr>
        <w:t>La résolution IV/</w:t>
      </w:r>
      <w:r>
        <w:rPr>
          <w:rFonts w:eastAsia="Cambria"/>
          <w:lang w:val="fr-CA"/>
        </w:rPr>
        <w:t>2</w:t>
      </w:r>
      <w:r w:rsidRPr="00DE7940">
        <w:rPr>
          <w:rFonts w:eastAsia="Cambria"/>
          <w:lang w:val="fr-CA"/>
        </w:rPr>
        <w:t xml:space="preserve"> sur</w:t>
      </w:r>
      <w:r>
        <w:rPr>
          <w:rFonts w:eastAsia="Cambria"/>
          <w:lang w:val="fr-CA"/>
        </w:rPr>
        <w:t xml:space="preserve"> l</w:t>
      </w:r>
      <w:r w:rsidR="00B06E09" w:rsidRPr="00DE7940">
        <w:rPr>
          <w:bCs/>
          <w:lang w:val="fr-CA"/>
        </w:rPr>
        <w:t xml:space="preserve">es </w:t>
      </w:r>
      <w:r w:rsidR="00B06E09" w:rsidRPr="00DE7940">
        <w:rPr>
          <w:lang w:val="fr-CA"/>
        </w:rPr>
        <w:t>nouvelles questions de politique générale qui, en plus de poursui</w:t>
      </w:r>
      <w:r w:rsidR="001652F1" w:rsidRPr="00DE7940">
        <w:rPr>
          <w:lang w:val="fr-CA"/>
        </w:rPr>
        <w:t>vr</w:t>
      </w:r>
      <w:r w:rsidR="00B06E09" w:rsidRPr="00DE7940">
        <w:rPr>
          <w:lang w:val="fr-CA"/>
        </w:rPr>
        <w:t xml:space="preserve">e </w:t>
      </w:r>
      <w:r w:rsidR="001652F1" w:rsidRPr="00DE7940">
        <w:rPr>
          <w:lang w:val="fr-CA"/>
        </w:rPr>
        <w:t>l</w:t>
      </w:r>
      <w:r w:rsidR="00B06E09" w:rsidRPr="00DE7940">
        <w:rPr>
          <w:lang w:val="fr-CA"/>
        </w:rPr>
        <w:t xml:space="preserve">es actions sur les questions existantes, </w:t>
      </w:r>
      <w:r w:rsidR="001652F1" w:rsidRPr="00DE7940">
        <w:rPr>
          <w:lang w:val="fr-CA"/>
        </w:rPr>
        <w:t>désign</w:t>
      </w:r>
      <w:r w:rsidR="00B06E09" w:rsidRPr="00DE7940">
        <w:rPr>
          <w:lang w:val="fr-CA"/>
        </w:rPr>
        <w:t>e l</w:t>
      </w:r>
      <w:r w:rsidR="001652F1" w:rsidRPr="00DE7940">
        <w:rPr>
          <w:lang w:val="fr-CA"/>
        </w:rPr>
        <w:t>e sujet d</w:t>
      </w:r>
      <w:r w:rsidR="00B06E09" w:rsidRPr="00DE7940">
        <w:rPr>
          <w:lang w:val="fr-CA"/>
        </w:rPr>
        <w:t xml:space="preserve">es polluants pharmaceutiques persistants comme </w:t>
      </w:r>
      <w:r w:rsidR="001652F1" w:rsidRPr="00DE7940">
        <w:rPr>
          <w:lang w:val="fr-CA"/>
        </w:rPr>
        <w:t>une des nouvelles questions de politique générale</w:t>
      </w:r>
      <w:r w:rsidR="00B06E09" w:rsidRPr="00DE7940">
        <w:rPr>
          <w:lang w:val="fr-CA"/>
        </w:rPr>
        <w:t xml:space="preserve"> à aborder dans le cadre de l</w:t>
      </w:r>
      <w:r w:rsidR="000D794D" w:rsidRPr="00DE7940">
        <w:rPr>
          <w:lang w:val="fr-CA"/>
        </w:rPr>
        <w:t>’</w:t>
      </w:r>
      <w:r w:rsidR="00B06E09" w:rsidRPr="00DE7940">
        <w:rPr>
          <w:lang w:val="fr-CA"/>
        </w:rPr>
        <w:t>Approche stratégique;</w:t>
      </w:r>
    </w:p>
    <w:p w:rsidR="00524CE1" w:rsidRPr="00DE7940" w:rsidRDefault="00C45EF7" w:rsidP="0099291F">
      <w:pPr>
        <w:pStyle w:val="Normalnumber"/>
        <w:numPr>
          <w:ilvl w:val="1"/>
          <w:numId w:val="43"/>
        </w:numPr>
        <w:tabs>
          <w:tab w:val="clear" w:pos="1247"/>
          <w:tab w:val="clear" w:pos="1814"/>
          <w:tab w:val="clear" w:pos="2381"/>
          <w:tab w:val="clear" w:pos="2948"/>
          <w:tab w:val="clear" w:pos="3515"/>
          <w:tab w:val="clear" w:pos="4082"/>
        </w:tabs>
        <w:ind w:left="1248" w:firstLine="624"/>
        <w:rPr>
          <w:bCs/>
          <w:lang w:val="fr-CA"/>
        </w:rPr>
      </w:pPr>
      <w:r w:rsidRPr="00DE7940">
        <w:rPr>
          <w:rFonts w:eastAsia="Cambria"/>
          <w:lang w:val="fr-CA"/>
        </w:rPr>
        <w:t>La ré</w:t>
      </w:r>
      <w:r>
        <w:rPr>
          <w:rFonts w:eastAsia="Cambria"/>
          <w:lang w:val="fr-CA"/>
        </w:rPr>
        <w:t>solution IV/3</w:t>
      </w:r>
      <w:r w:rsidRPr="00DE7940">
        <w:rPr>
          <w:rFonts w:eastAsia="Cambria"/>
          <w:lang w:val="fr-CA"/>
        </w:rPr>
        <w:t xml:space="preserve"> sur</w:t>
      </w:r>
      <w:r>
        <w:rPr>
          <w:rFonts w:eastAsia="Cambria"/>
          <w:lang w:val="fr-CA"/>
        </w:rPr>
        <w:t xml:space="preserve"> l</w:t>
      </w:r>
      <w:r w:rsidR="001652F1" w:rsidRPr="00DE7940">
        <w:rPr>
          <w:bCs/>
          <w:lang w:val="fr-CA"/>
        </w:rPr>
        <w:t xml:space="preserve">es </w:t>
      </w:r>
      <w:r w:rsidR="001652F1" w:rsidRPr="00DE7940">
        <w:rPr>
          <w:lang w:val="fr-CA"/>
        </w:rPr>
        <w:t>pesticides hautement dangereux</w:t>
      </w:r>
      <w:r>
        <w:rPr>
          <w:lang w:val="fr-CA"/>
        </w:rPr>
        <w:t>;</w:t>
      </w:r>
    </w:p>
    <w:p w:rsidR="00524CE1" w:rsidRPr="00DE7940" w:rsidRDefault="00C45EF7" w:rsidP="0099291F">
      <w:pPr>
        <w:pStyle w:val="Normalnumber"/>
        <w:numPr>
          <w:ilvl w:val="1"/>
          <w:numId w:val="43"/>
        </w:numPr>
        <w:tabs>
          <w:tab w:val="clear" w:pos="1247"/>
          <w:tab w:val="clear" w:pos="1814"/>
          <w:tab w:val="clear" w:pos="2381"/>
          <w:tab w:val="clear" w:pos="2948"/>
          <w:tab w:val="clear" w:pos="3515"/>
          <w:tab w:val="clear" w:pos="4082"/>
        </w:tabs>
        <w:ind w:left="1248" w:firstLine="624"/>
        <w:rPr>
          <w:bCs/>
          <w:lang w:val="fr-CA"/>
        </w:rPr>
      </w:pPr>
      <w:r w:rsidRPr="00DE7940">
        <w:rPr>
          <w:rFonts w:eastAsia="Cambria"/>
          <w:lang w:val="fr-CA"/>
        </w:rPr>
        <w:t>La résolution IV/</w:t>
      </w:r>
      <w:r>
        <w:rPr>
          <w:rFonts w:eastAsia="Cambria"/>
          <w:lang w:val="fr-CA"/>
        </w:rPr>
        <w:t>5</w:t>
      </w:r>
      <w:r w:rsidRPr="00DE7940">
        <w:rPr>
          <w:rFonts w:eastAsia="Cambria"/>
          <w:lang w:val="fr-CA"/>
        </w:rPr>
        <w:t xml:space="preserve"> sur</w:t>
      </w:r>
      <w:r>
        <w:rPr>
          <w:rFonts w:eastAsia="Cambria"/>
          <w:lang w:val="fr-CA"/>
        </w:rPr>
        <w:t xml:space="preserve"> l</w:t>
      </w:r>
      <w:r w:rsidR="001652F1" w:rsidRPr="00DE7940">
        <w:rPr>
          <w:bCs/>
          <w:lang w:val="fr-CA"/>
        </w:rPr>
        <w:t>es activités du secrétariat et le budget</w:t>
      </w:r>
      <w:r w:rsidR="0045325A" w:rsidRPr="00DE7940">
        <w:rPr>
          <w:bCs/>
          <w:lang w:val="fr-CA"/>
        </w:rPr>
        <w:t xml:space="preserve"> pour</w:t>
      </w:r>
      <w:r w:rsidR="001652F1" w:rsidRPr="00DE7940">
        <w:rPr>
          <w:bCs/>
          <w:lang w:val="fr-CA"/>
        </w:rPr>
        <w:t xml:space="preserve"> la période</w:t>
      </w:r>
      <w:r>
        <w:rPr>
          <w:bCs/>
          <w:lang w:val="fr-CA"/>
        </w:rPr>
        <w:t> </w:t>
      </w:r>
      <w:r w:rsidR="001652F1" w:rsidRPr="00DE7940">
        <w:rPr>
          <w:bCs/>
          <w:lang w:val="fr-CA"/>
        </w:rPr>
        <w:t>2016</w:t>
      </w:r>
      <w:r>
        <w:rPr>
          <w:bCs/>
          <w:lang w:val="fr-CA"/>
        </w:rPr>
        <w:noBreakHyphen/>
      </w:r>
      <w:r w:rsidR="001652F1" w:rsidRPr="00DE7940">
        <w:rPr>
          <w:bCs/>
          <w:lang w:val="fr-CA"/>
        </w:rPr>
        <w:t>2020</w:t>
      </w:r>
      <w:r w:rsidR="0045325A" w:rsidRPr="00DE7940">
        <w:rPr>
          <w:bCs/>
          <w:lang w:val="fr-CA"/>
        </w:rPr>
        <w:t>,</w:t>
      </w:r>
      <w:r w:rsidR="001652F1" w:rsidRPr="00DE7940">
        <w:rPr>
          <w:bCs/>
          <w:lang w:val="fr-CA"/>
        </w:rPr>
        <w:t xml:space="preserve"> </w:t>
      </w:r>
      <w:r w:rsidR="0045325A" w:rsidRPr="00DE7940">
        <w:rPr>
          <w:bCs/>
          <w:lang w:val="fr-CA"/>
        </w:rPr>
        <w:t xml:space="preserve">allant </w:t>
      </w:r>
      <w:r w:rsidR="001652F1" w:rsidRPr="00DE7940">
        <w:rPr>
          <w:bCs/>
          <w:lang w:val="fr-CA"/>
        </w:rPr>
        <w:t>jusqu</w:t>
      </w:r>
      <w:r w:rsidR="000D794D" w:rsidRPr="00DE7940">
        <w:rPr>
          <w:bCs/>
          <w:lang w:val="fr-CA"/>
        </w:rPr>
        <w:t>’</w:t>
      </w:r>
      <w:r w:rsidR="001652F1" w:rsidRPr="00DE7940">
        <w:rPr>
          <w:bCs/>
          <w:lang w:val="fr-CA"/>
        </w:rPr>
        <w:t>à la cinquième session de la Conférence internationale sur la gestion des produits chimiques</w:t>
      </w:r>
      <w:r w:rsidR="0045325A" w:rsidRPr="00DE7940">
        <w:rPr>
          <w:bCs/>
          <w:lang w:val="fr-CA"/>
        </w:rPr>
        <w:t>, qui</w:t>
      </w:r>
      <w:r w:rsidR="001652F1" w:rsidRPr="00DE7940">
        <w:rPr>
          <w:bCs/>
          <w:lang w:val="fr-CA"/>
        </w:rPr>
        <w:t xml:space="preserve"> prévoit u</w:t>
      </w:r>
      <w:r w:rsidR="0045325A" w:rsidRPr="00DE7940">
        <w:rPr>
          <w:bCs/>
          <w:lang w:val="fr-CA"/>
        </w:rPr>
        <w:t>n</w:t>
      </w:r>
      <w:r w:rsidR="001652F1" w:rsidRPr="00DE7940">
        <w:rPr>
          <w:bCs/>
          <w:lang w:val="fr-CA"/>
        </w:rPr>
        <w:t xml:space="preserve"> accroissement du budget et de l</w:t>
      </w:r>
      <w:r w:rsidR="000D794D" w:rsidRPr="00DE7940">
        <w:rPr>
          <w:bCs/>
          <w:lang w:val="fr-CA"/>
        </w:rPr>
        <w:t>’</w:t>
      </w:r>
      <w:r w:rsidR="0045325A" w:rsidRPr="00DE7940">
        <w:rPr>
          <w:bCs/>
          <w:lang w:val="fr-CA"/>
        </w:rPr>
        <w:t>effectif</w:t>
      </w:r>
      <w:r w:rsidR="001652F1" w:rsidRPr="00DE7940">
        <w:rPr>
          <w:bCs/>
          <w:lang w:val="fr-CA"/>
        </w:rPr>
        <w:t xml:space="preserve"> du secrétariat de l</w:t>
      </w:r>
      <w:r w:rsidR="000D794D" w:rsidRPr="00DE7940">
        <w:rPr>
          <w:bCs/>
          <w:lang w:val="fr-CA"/>
        </w:rPr>
        <w:t>’</w:t>
      </w:r>
      <w:r w:rsidR="001652F1" w:rsidRPr="00DE7940">
        <w:rPr>
          <w:bCs/>
          <w:lang w:val="fr-CA"/>
        </w:rPr>
        <w:t xml:space="preserve">Approche stratégique afin de lui permettre </w:t>
      </w:r>
      <w:r w:rsidR="0045325A" w:rsidRPr="00DE7940">
        <w:rPr>
          <w:bCs/>
          <w:lang w:val="fr-CA"/>
        </w:rPr>
        <w:t xml:space="preserve">de fournir à </w:t>
      </w:r>
      <w:r w:rsidR="001652F1" w:rsidRPr="00DE7940">
        <w:rPr>
          <w:bCs/>
          <w:lang w:val="fr-CA"/>
        </w:rPr>
        <w:t xml:space="preserve">toutes les parties prenantes </w:t>
      </w:r>
      <w:r w:rsidR="0045325A" w:rsidRPr="00DE7940">
        <w:rPr>
          <w:bCs/>
          <w:lang w:val="fr-CA"/>
        </w:rPr>
        <w:t xml:space="preserve">un soutien plus important dans la </w:t>
      </w:r>
      <w:r w:rsidR="001652F1" w:rsidRPr="00DE7940">
        <w:rPr>
          <w:bCs/>
          <w:lang w:val="fr-CA"/>
        </w:rPr>
        <w:t>réalisation de l</w:t>
      </w:r>
      <w:r w:rsidR="000D794D" w:rsidRPr="00DE7940">
        <w:rPr>
          <w:bCs/>
          <w:lang w:val="fr-CA"/>
        </w:rPr>
        <w:t>’</w:t>
      </w:r>
      <w:r w:rsidR="001652F1" w:rsidRPr="00DE7940">
        <w:rPr>
          <w:bCs/>
          <w:lang w:val="fr-CA"/>
        </w:rPr>
        <w:t xml:space="preserve">objectif </w:t>
      </w:r>
      <w:r w:rsidR="0045325A" w:rsidRPr="00DE7940">
        <w:rPr>
          <w:bCs/>
          <w:lang w:val="fr-CA"/>
        </w:rPr>
        <w:t xml:space="preserve">fixé pour </w:t>
      </w:r>
      <w:r w:rsidR="001652F1" w:rsidRPr="00DE7940">
        <w:rPr>
          <w:bCs/>
          <w:lang w:val="fr-CA"/>
        </w:rPr>
        <w:t>2020, de mettre au point une plateforme d</w:t>
      </w:r>
      <w:r w:rsidR="000D794D" w:rsidRPr="00DE7940">
        <w:rPr>
          <w:bCs/>
          <w:lang w:val="fr-CA"/>
        </w:rPr>
        <w:t>’</w:t>
      </w:r>
      <w:r w:rsidR="001652F1" w:rsidRPr="00DE7940">
        <w:rPr>
          <w:bCs/>
          <w:lang w:val="fr-CA"/>
        </w:rPr>
        <w:t>échange d</w:t>
      </w:r>
      <w:r w:rsidR="000D794D" w:rsidRPr="00DE7940">
        <w:rPr>
          <w:bCs/>
          <w:lang w:val="fr-CA"/>
        </w:rPr>
        <w:t>’</w:t>
      </w:r>
      <w:r w:rsidR="001652F1" w:rsidRPr="00DE7940">
        <w:rPr>
          <w:bCs/>
          <w:lang w:val="fr-CA"/>
        </w:rPr>
        <w:t>informations et de gestion des connaissances</w:t>
      </w:r>
      <w:r w:rsidR="0045325A" w:rsidRPr="00DE7940">
        <w:rPr>
          <w:bCs/>
          <w:lang w:val="fr-CA"/>
        </w:rPr>
        <w:t>,</w:t>
      </w:r>
      <w:r w:rsidR="001652F1" w:rsidRPr="00DE7940">
        <w:rPr>
          <w:bCs/>
          <w:lang w:val="fr-CA"/>
        </w:rPr>
        <w:t xml:space="preserve"> et d</w:t>
      </w:r>
      <w:r w:rsidR="000D794D" w:rsidRPr="00DE7940">
        <w:rPr>
          <w:bCs/>
          <w:lang w:val="fr-CA"/>
        </w:rPr>
        <w:t>’</w:t>
      </w:r>
      <w:r w:rsidR="001652F1" w:rsidRPr="00DE7940">
        <w:rPr>
          <w:bCs/>
          <w:lang w:val="fr-CA"/>
        </w:rPr>
        <w:t xml:space="preserve">appuyer le processus intersessions </w:t>
      </w:r>
      <w:r w:rsidR="0045325A" w:rsidRPr="00DE7940">
        <w:rPr>
          <w:bCs/>
          <w:lang w:val="fr-CA"/>
        </w:rPr>
        <w:t>relatif à la gestion des produits chimiques et des déchets au-delà de 2020.</w:t>
      </w:r>
    </w:p>
    <w:p w:rsidR="00524CE1" w:rsidRPr="00DE7940" w:rsidRDefault="0045325A" w:rsidP="00C45EF7">
      <w:pPr>
        <w:pStyle w:val="CH2"/>
        <w:tabs>
          <w:tab w:val="clear" w:pos="851"/>
          <w:tab w:val="clear" w:pos="1247"/>
          <w:tab w:val="clear" w:pos="1814"/>
          <w:tab w:val="clear" w:pos="2381"/>
          <w:tab w:val="clear" w:pos="2948"/>
          <w:tab w:val="clear" w:pos="3515"/>
          <w:tab w:val="clear" w:pos="4082"/>
        </w:tabs>
        <w:ind w:left="1248" w:hanging="624"/>
        <w:rPr>
          <w:lang w:val="fr-CA"/>
        </w:rPr>
      </w:pPr>
      <w:r w:rsidRPr="00DE7940">
        <w:rPr>
          <w:lang w:val="fr-CA"/>
        </w:rPr>
        <w:t>B.</w:t>
      </w:r>
      <w:r w:rsidR="00524CE1" w:rsidRPr="00DE7940">
        <w:rPr>
          <w:lang w:val="fr-CA"/>
        </w:rPr>
        <w:tab/>
      </w:r>
      <w:r w:rsidRPr="00DE7940">
        <w:rPr>
          <w:lang w:val="fr-CA"/>
        </w:rPr>
        <w:t>Secrétariat de l</w:t>
      </w:r>
      <w:r w:rsidR="000D794D" w:rsidRPr="00DE7940">
        <w:rPr>
          <w:lang w:val="fr-CA"/>
        </w:rPr>
        <w:t>’</w:t>
      </w:r>
      <w:r w:rsidRPr="00DE7940">
        <w:rPr>
          <w:lang w:val="fr-CA"/>
        </w:rPr>
        <w:t>Approche stratégique</w:t>
      </w:r>
    </w:p>
    <w:p w:rsidR="00524CE1" w:rsidRPr="00DE7940" w:rsidRDefault="0045325A" w:rsidP="000E75FB">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Comme suite à la demande formulée par l</w:t>
      </w:r>
      <w:r w:rsidR="000D794D" w:rsidRPr="00DE7940">
        <w:rPr>
          <w:lang w:val="fr-CA"/>
        </w:rPr>
        <w:t>’</w:t>
      </w:r>
      <w:r w:rsidRPr="00DE7940">
        <w:rPr>
          <w:lang w:val="fr-CA"/>
        </w:rPr>
        <w:t>Assemblée des Nations Unies pour l</w:t>
      </w:r>
      <w:r w:rsidR="000D794D" w:rsidRPr="00DE7940">
        <w:rPr>
          <w:lang w:val="fr-CA"/>
        </w:rPr>
        <w:t>’</w:t>
      </w:r>
      <w:r w:rsidRPr="00DE7940">
        <w:rPr>
          <w:lang w:val="fr-CA"/>
        </w:rPr>
        <w:t>environnement à sa première session (résolution 1/5, section V), le Directeur exécutif du PNUE a envoyé au Directeur général de l</w:t>
      </w:r>
      <w:r w:rsidR="000D794D" w:rsidRPr="00DE7940">
        <w:rPr>
          <w:lang w:val="fr-CA"/>
        </w:rPr>
        <w:t>’</w:t>
      </w:r>
      <w:r w:rsidRPr="00DE7940">
        <w:rPr>
          <w:lang w:val="fr-CA"/>
        </w:rPr>
        <w:t>OMS une lettre soulignant le rôle important</w:t>
      </w:r>
      <w:r w:rsidR="00160C73" w:rsidRPr="00DE7940">
        <w:rPr>
          <w:lang w:val="fr-CA"/>
        </w:rPr>
        <w:t xml:space="preserve"> que </w:t>
      </w:r>
      <w:r w:rsidR="00C45EF7">
        <w:rPr>
          <w:lang w:val="fr-CA"/>
        </w:rPr>
        <w:t xml:space="preserve">celle-ci </w:t>
      </w:r>
      <w:r w:rsidR="00160C73" w:rsidRPr="00DE7940">
        <w:rPr>
          <w:lang w:val="fr-CA"/>
        </w:rPr>
        <w:t>joue au sein de l</w:t>
      </w:r>
      <w:r w:rsidR="000D794D" w:rsidRPr="00DE7940">
        <w:rPr>
          <w:lang w:val="fr-CA"/>
        </w:rPr>
        <w:t>’</w:t>
      </w:r>
      <w:r w:rsidR="00160C73" w:rsidRPr="00DE7940">
        <w:rPr>
          <w:lang w:val="fr-CA"/>
        </w:rPr>
        <w:t xml:space="preserve">Approche stratégique et invitant </w:t>
      </w:r>
      <w:r w:rsidR="00C45EF7" w:rsidRPr="00DE7940">
        <w:rPr>
          <w:lang w:val="fr-CA"/>
        </w:rPr>
        <w:t>ce</w:t>
      </w:r>
      <w:r w:rsidR="00C45EF7">
        <w:rPr>
          <w:lang w:val="fr-CA"/>
        </w:rPr>
        <w:t>tte organisation</w:t>
      </w:r>
      <w:r w:rsidR="00C45EF7" w:rsidRPr="00DE7940">
        <w:rPr>
          <w:lang w:val="fr-CA"/>
        </w:rPr>
        <w:t xml:space="preserve"> </w:t>
      </w:r>
      <w:r w:rsidR="00160C73" w:rsidRPr="00DE7940">
        <w:rPr>
          <w:lang w:val="fr-CA"/>
        </w:rPr>
        <w:t>à doter le secrétariat de l</w:t>
      </w:r>
      <w:r w:rsidR="000D794D" w:rsidRPr="00DE7940">
        <w:rPr>
          <w:lang w:val="fr-CA"/>
        </w:rPr>
        <w:t>’</w:t>
      </w:r>
      <w:r w:rsidR="00160C73" w:rsidRPr="00DE7940">
        <w:rPr>
          <w:lang w:val="fr-CA"/>
        </w:rPr>
        <w:t>Approche stratégique du personnel et des ressources nécessaires.</w:t>
      </w:r>
      <w:r w:rsidR="00524CE1" w:rsidRPr="00DE7940">
        <w:rPr>
          <w:lang w:val="fr-CA"/>
        </w:rPr>
        <w:t xml:space="preserve"> </w:t>
      </w:r>
      <w:r w:rsidR="00160C73" w:rsidRPr="00DE7940">
        <w:rPr>
          <w:lang w:val="fr-CA"/>
        </w:rPr>
        <w:t>Le Directeur exécutif a également, comme demandé, fait parvenir la lettre à la réunion de janvier 2015 du Conseil exécutif de l</w:t>
      </w:r>
      <w:r w:rsidR="000D794D" w:rsidRPr="00DE7940">
        <w:rPr>
          <w:lang w:val="fr-CA"/>
        </w:rPr>
        <w:t>’</w:t>
      </w:r>
      <w:r w:rsidR="00160C73" w:rsidRPr="00DE7940">
        <w:rPr>
          <w:lang w:val="fr-CA"/>
        </w:rPr>
        <w:t>OMS.</w:t>
      </w:r>
      <w:r w:rsidR="00524CE1" w:rsidRPr="00DE7940">
        <w:rPr>
          <w:lang w:val="fr-CA"/>
        </w:rPr>
        <w:t xml:space="preserve"> </w:t>
      </w:r>
    </w:p>
    <w:p w:rsidR="00524CE1" w:rsidRPr="00DE7940" w:rsidRDefault="000E75FB" w:rsidP="004F70C0">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PNUE a en outre donné suite à la demande qui lui a été faite de jouer un rôle de chef de file dans la mise en place de dispositions pour assurer avec efficacité et efficience le secrétariat de l</w:t>
      </w:r>
      <w:r w:rsidR="000D794D" w:rsidRPr="00DE7940">
        <w:rPr>
          <w:lang w:val="fr-CA"/>
        </w:rPr>
        <w:t>’</w:t>
      </w:r>
      <w:r w:rsidRPr="00DE7940">
        <w:rPr>
          <w:lang w:val="fr-CA"/>
        </w:rPr>
        <w:t>Approche stratégique en achevant le recrutement d</w:t>
      </w:r>
      <w:r w:rsidR="000D794D" w:rsidRPr="00DE7940">
        <w:rPr>
          <w:lang w:val="fr-CA"/>
        </w:rPr>
        <w:t>’</w:t>
      </w:r>
      <w:r w:rsidRPr="00DE7940">
        <w:rPr>
          <w:lang w:val="fr-CA"/>
        </w:rPr>
        <w:t xml:space="preserve">un administrateur de programme adjoint pour le Programme de démarrage rapide et en renforçant le secrétariat par le reclassement du poste de coordonnateur financé par le PNUE, </w:t>
      </w:r>
      <w:r w:rsidR="0066018A" w:rsidRPr="00DE7940">
        <w:rPr>
          <w:lang w:val="fr-CA"/>
        </w:rPr>
        <w:t>augmentant ainsi</w:t>
      </w:r>
      <w:r w:rsidRPr="00DE7940">
        <w:rPr>
          <w:lang w:val="fr-CA"/>
        </w:rPr>
        <w:t xml:space="preserve"> l</w:t>
      </w:r>
      <w:r w:rsidR="000D794D" w:rsidRPr="00DE7940">
        <w:rPr>
          <w:lang w:val="fr-CA"/>
        </w:rPr>
        <w:t>’</w:t>
      </w:r>
      <w:r w:rsidRPr="00DE7940">
        <w:rPr>
          <w:lang w:val="fr-CA"/>
        </w:rPr>
        <w:t>importance politique accordée à l</w:t>
      </w:r>
      <w:r w:rsidR="000D794D" w:rsidRPr="00DE7940">
        <w:rPr>
          <w:lang w:val="fr-CA"/>
        </w:rPr>
        <w:t>’</w:t>
      </w:r>
      <w:r w:rsidRPr="00DE7940">
        <w:rPr>
          <w:lang w:val="fr-CA"/>
        </w:rPr>
        <w:t xml:space="preserve">Approche stratégique; en continuant à </w:t>
      </w:r>
      <w:r w:rsidR="004F70C0" w:rsidRPr="00DE7940">
        <w:rPr>
          <w:lang w:val="fr-CA"/>
        </w:rPr>
        <w:t>prendre en charge les dépenses de</w:t>
      </w:r>
      <w:r w:rsidRPr="00DE7940">
        <w:rPr>
          <w:lang w:val="fr-CA"/>
        </w:rPr>
        <w:t xml:space="preserve"> personnel </w:t>
      </w:r>
      <w:r w:rsidR="004F70C0" w:rsidRPr="00DE7940">
        <w:rPr>
          <w:lang w:val="fr-CA"/>
        </w:rPr>
        <w:t>pour l</w:t>
      </w:r>
      <w:r w:rsidRPr="00DE7940">
        <w:rPr>
          <w:lang w:val="fr-CA"/>
        </w:rPr>
        <w:t xml:space="preserve">es services </w:t>
      </w:r>
      <w:r w:rsidR="0066018A" w:rsidRPr="00DE7940">
        <w:rPr>
          <w:lang w:val="fr-CA"/>
        </w:rPr>
        <w:t>d</w:t>
      </w:r>
      <w:r w:rsidR="000D794D" w:rsidRPr="00DE7940">
        <w:rPr>
          <w:lang w:val="fr-CA"/>
        </w:rPr>
        <w:t>’</w:t>
      </w:r>
      <w:r w:rsidR="0066018A" w:rsidRPr="00DE7940">
        <w:rPr>
          <w:lang w:val="fr-CA"/>
        </w:rPr>
        <w:t>appui</w:t>
      </w:r>
      <w:r w:rsidRPr="00DE7940">
        <w:rPr>
          <w:lang w:val="fr-CA"/>
        </w:rPr>
        <w:t xml:space="preserve">; et en continuant à assurer la prestation de services administratifs, </w:t>
      </w:r>
      <w:r w:rsidR="004F70C0" w:rsidRPr="00DE7940">
        <w:rPr>
          <w:lang w:val="fr-CA"/>
        </w:rPr>
        <w:t>en particulier</w:t>
      </w:r>
      <w:r w:rsidRPr="00DE7940">
        <w:rPr>
          <w:lang w:val="fr-CA"/>
        </w:rPr>
        <w:t xml:space="preserve"> au Programme de démarrage rapide, par le biais du Service Substances chimiques et Déchets.</w:t>
      </w:r>
      <w:r w:rsidR="00524CE1" w:rsidRPr="00DE7940">
        <w:rPr>
          <w:lang w:val="fr-CA"/>
        </w:rPr>
        <w:t xml:space="preserve"> </w:t>
      </w:r>
    </w:p>
    <w:p w:rsidR="00524CE1" w:rsidRPr="00DE7940" w:rsidRDefault="004F70C0" w:rsidP="00975517">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À sa quatrième session, la Conférence internationale sur la gestion des produits chimiques a approuvé la création d</w:t>
      </w:r>
      <w:r w:rsidR="000D794D" w:rsidRPr="00DE7940">
        <w:rPr>
          <w:lang w:val="fr-CA"/>
        </w:rPr>
        <w:t>’</w:t>
      </w:r>
      <w:r w:rsidRPr="00DE7940">
        <w:rPr>
          <w:lang w:val="fr-CA"/>
        </w:rPr>
        <w:t>un poste d</w:t>
      </w:r>
      <w:r w:rsidR="000D794D" w:rsidRPr="00DE7940">
        <w:rPr>
          <w:lang w:val="fr-CA"/>
        </w:rPr>
        <w:t>’</w:t>
      </w:r>
      <w:r w:rsidRPr="00DE7940">
        <w:rPr>
          <w:lang w:val="fr-CA"/>
        </w:rPr>
        <w:t>administrateur de programme (P-3) chargé de la gestion des connaissances et le reclassement du poste d</w:t>
      </w:r>
      <w:r w:rsidR="000D794D" w:rsidRPr="00DE7940">
        <w:rPr>
          <w:lang w:val="fr-CA"/>
        </w:rPr>
        <w:t>’</w:t>
      </w:r>
      <w:r w:rsidRPr="00DE7940">
        <w:rPr>
          <w:lang w:val="fr-CA"/>
        </w:rPr>
        <w:t>administrateur de programme adjoint (P-2) au rang d</w:t>
      </w:r>
      <w:r w:rsidR="000D794D" w:rsidRPr="00DE7940">
        <w:rPr>
          <w:lang w:val="fr-CA"/>
        </w:rPr>
        <w:t>’</w:t>
      </w:r>
      <w:r w:rsidRPr="00DE7940">
        <w:rPr>
          <w:lang w:val="fr-CA"/>
        </w:rPr>
        <w:t>administrateur de programme (P-3).</w:t>
      </w:r>
      <w:r w:rsidR="00524CE1" w:rsidRPr="00DE7940">
        <w:rPr>
          <w:lang w:val="fr-CA"/>
        </w:rPr>
        <w:t xml:space="preserve"> </w:t>
      </w:r>
      <w:r w:rsidRPr="00DE7940">
        <w:rPr>
          <w:lang w:val="fr-CA"/>
        </w:rPr>
        <w:t>Le secrétariat de l</w:t>
      </w:r>
      <w:r w:rsidR="000D794D" w:rsidRPr="00DE7940">
        <w:rPr>
          <w:lang w:val="fr-CA"/>
        </w:rPr>
        <w:t>’</w:t>
      </w:r>
      <w:r w:rsidRPr="00DE7940">
        <w:rPr>
          <w:lang w:val="fr-CA"/>
        </w:rPr>
        <w:t>Approche stratégique est également, au besoin, appuyé par des consultants pour des activités spécifiques.</w:t>
      </w:r>
      <w:r w:rsidR="00524CE1" w:rsidRPr="00DE7940">
        <w:rPr>
          <w:lang w:val="fr-CA"/>
        </w:rPr>
        <w:t xml:space="preserve"> </w:t>
      </w:r>
    </w:p>
    <w:p w:rsidR="00524CE1" w:rsidRPr="00DE7940" w:rsidRDefault="00975517" w:rsidP="00995334">
      <w:pPr>
        <w:pStyle w:val="Normalnumber"/>
        <w:keepNext/>
        <w:keepLines/>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lastRenderedPageBreak/>
        <w:t>Pour organiser la quatrième session de la Conférence internationale sur la gestion des produits chimiques, le secrétariat de l</w:t>
      </w:r>
      <w:r w:rsidR="000D794D" w:rsidRPr="00DE7940">
        <w:rPr>
          <w:lang w:val="fr-CA"/>
        </w:rPr>
        <w:t>’</w:t>
      </w:r>
      <w:r w:rsidRPr="00DE7940">
        <w:rPr>
          <w:lang w:val="fr-CA"/>
        </w:rPr>
        <w:t>Approche stratégique a travaillé en coopération avec le secrétariat des conventions de Bâle, de Rotterdam et de Stockholm selon les besoins.</w:t>
      </w:r>
      <w:r w:rsidR="00524CE1" w:rsidRPr="00DE7940">
        <w:rPr>
          <w:lang w:val="fr-CA"/>
        </w:rPr>
        <w:t xml:space="preserve"> </w:t>
      </w:r>
      <w:r w:rsidRPr="00DE7940">
        <w:rPr>
          <w:lang w:val="fr-CA"/>
        </w:rPr>
        <w:t>Au cours de cette période, les principaux domaines de coopération ont été la coopération scientifique et technique, l</w:t>
      </w:r>
      <w:r w:rsidR="000D794D" w:rsidRPr="00DE7940">
        <w:rPr>
          <w:lang w:val="fr-CA"/>
        </w:rPr>
        <w:t>’</w:t>
      </w:r>
      <w:r w:rsidRPr="00DE7940">
        <w:rPr>
          <w:lang w:val="fr-CA"/>
        </w:rPr>
        <w:t>organisation et le service des réunions, les questions de politique générale et de stratégie, les mécanismes d</w:t>
      </w:r>
      <w:r w:rsidR="000D794D" w:rsidRPr="00DE7940">
        <w:rPr>
          <w:lang w:val="fr-CA"/>
        </w:rPr>
        <w:t>’</w:t>
      </w:r>
      <w:r w:rsidRPr="00DE7940">
        <w:rPr>
          <w:lang w:val="fr-CA"/>
        </w:rPr>
        <w:t>échange d</w:t>
      </w:r>
      <w:r w:rsidR="000D794D" w:rsidRPr="00DE7940">
        <w:rPr>
          <w:lang w:val="fr-CA"/>
        </w:rPr>
        <w:t>’</w:t>
      </w:r>
      <w:r w:rsidRPr="00DE7940">
        <w:rPr>
          <w:lang w:val="fr-CA"/>
        </w:rPr>
        <w:t>informations, les systèmes d</w:t>
      </w:r>
      <w:r w:rsidR="000D794D" w:rsidRPr="00DE7940">
        <w:rPr>
          <w:lang w:val="fr-CA"/>
        </w:rPr>
        <w:t>’</w:t>
      </w:r>
      <w:r w:rsidRPr="00DE7940">
        <w:rPr>
          <w:lang w:val="fr-CA"/>
        </w:rPr>
        <w:t>information et les relations extérieures, et la communication.</w:t>
      </w:r>
    </w:p>
    <w:p w:rsidR="00524CE1" w:rsidRPr="00DE7940" w:rsidRDefault="00975517" w:rsidP="00C45EF7">
      <w:pPr>
        <w:pStyle w:val="CH2"/>
        <w:ind w:hanging="623"/>
        <w:rPr>
          <w:lang w:val="fr-CA"/>
        </w:rPr>
      </w:pPr>
      <w:r w:rsidRPr="00DE7940">
        <w:rPr>
          <w:lang w:val="fr-CA"/>
        </w:rPr>
        <w:t>C.</w:t>
      </w:r>
      <w:r w:rsidR="00524CE1" w:rsidRPr="00DE7940">
        <w:rPr>
          <w:lang w:val="fr-CA"/>
        </w:rPr>
        <w:tab/>
      </w:r>
      <w:r w:rsidRPr="00DE7940">
        <w:rPr>
          <w:lang w:val="fr-CA"/>
        </w:rPr>
        <w:t>Activités menées par le PNUE pour appuyer la mise en œuvre de l</w:t>
      </w:r>
      <w:r w:rsidR="000D794D" w:rsidRPr="00DE7940">
        <w:rPr>
          <w:lang w:val="fr-CA"/>
        </w:rPr>
        <w:t>’</w:t>
      </w:r>
      <w:r w:rsidRPr="00DE7940">
        <w:rPr>
          <w:lang w:val="fr-CA"/>
        </w:rPr>
        <w:t>Approche stratégique</w:t>
      </w:r>
    </w:p>
    <w:p w:rsidR="00524CE1" w:rsidRPr="00DE7940" w:rsidRDefault="00975517" w:rsidP="00A274F5">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La partie V de la résolution 1/5, qui se rapporte à l</w:t>
      </w:r>
      <w:r w:rsidR="000D794D" w:rsidRPr="00DE7940">
        <w:rPr>
          <w:lang w:val="fr-CA"/>
        </w:rPr>
        <w:t>’</w:t>
      </w:r>
      <w:r w:rsidRPr="00DE7940">
        <w:rPr>
          <w:lang w:val="fr-CA"/>
        </w:rPr>
        <w:t>Approche stratégique, invite toutes les parties prenantes, en particulier les organisations intergouvernementales, à soutenir la mise en œuvre et l</w:t>
      </w:r>
      <w:r w:rsidR="000D794D" w:rsidRPr="00DE7940">
        <w:rPr>
          <w:lang w:val="fr-CA"/>
        </w:rPr>
        <w:t>’</w:t>
      </w:r>
      <w:r w:rsidRPr="00DE7940">
        <w:rPr>
          <w:lang w:val="fr-CA"/>
        </w:rPr>
        <w:t>élaboration plus poussée de l</w:t>
      </w:r>
      <w:r w:rsidR="000D794D" w:rsidRPr="00DE7940">
        <w:rPr>
          <w:lang w:val="fr-CA"/>
        </w:rPr>
        <w:t>’</w:t>
      </w:r>
      <w:r w:rsidRPr="00DE7940">
        <w:rPr>
          <w:lang w:val="fr-CA"/>
        </w:rPr>
        <w:t>Approche stratégique.</w:t>
      </w:r>
      <w:r w:rsidR="00524CE1" w:rsidRPr="00DE7940">
        <w:rPr>
          <w:lang w:val="fr-CA"/>
        </w:rPr>
        <w:t xml:space="preserve"> </w:t>
      </w:r>
      <w:r w:rsidR="00A274F5" w:rsidRPr="00DE7940">
        <w:rPr>
          <w:lang w:val="fr-CA"/>
        </w:rPr>
        <w:t>Depuis un certain temps, l</w:t>
      </w:r>
      <w:r w:rsidRPr="00DE7940">
        <w:rPr>
          <w:lang w:val="fr-CA"/>
        </w:rPr>
        <w:t xml:space="preserve">e PNUE </w:t>
      </w:r>
      <w:r w:rsidR="00DA1D17" w:rsidRPr="00DE7940">
        <w:rPr>
          <w:lang w:val="fr-CA"/>
        </w:rPr>
        <w:t>se pench</w:t>
      </w:r>
      <w:r w:rsidRPr="00DE7940">
        <w:rPr>
          <w:lang w:val="fr-CA"/>
        </w:rPr>
        <w:t>e</w:t>
      </w:r>
      <w:r w:rsidR="00A274F5" w:rsidRPr="00DE7940">
        <w:rPr>
          <w:lang w:val="fr-CA"/>
        </w:rPr>
        <w:t>, dans</w:t>
      </w:r>
      <w:r w:rsidRPr="00DE7940">
        <w:rPr>
          <w:lang w:val="fr-CA"/>
        </w:rPr>
        <w:t xml:space="preserve"> </w:t>
      </w:r>
      <w:r w:rsidR="00A274F5" w:rsidRPr="00DE7940">
        <w:rPr>
          <w:lang w:val="fr-CA"/>
        </w:rPr>
        <w:t xml:space="preserve">un rôle de chef de file ou </w:t>
      </w:r>
      <w:r w:rsidRPr="00DE7940">
        <w:rPr>
          <w:lang w:val="fr-CA"/>
        </w:rPr>
        <w:t>en coordination et coopération avec d</w:t>
      </w:r>
      <w:r w:rsidR="000D794D" w:rsidRPr="00DE7940">
        <w:rPr>
          <w:lang w:val="fr-CA"/>
        </w:rPr>
        <w:t>’</w:t>
      </w:r>
      <w:r w:rsidRPr="00DE7940">
        <w:rPr>
          <w:lang w:val="fr-CA"/>
        </w:rPr>
        <w:t xml:space="preserve">autres organisations participant </w:t>
      </w:r>
      <w:r w:rsidR="009B51ED" w:rsidRPr="00DE7940">
        <w:rPr>
          <w:lang w:val="fr-CA"/>
        </w:rPr>
        <w:t>à l</w:t>
      </w:r>
      <w:r w:rsidR="000D794D" w:rsidRPr="00DE7940">
        <w:rPr>
          <w:lang w:val="fr-CA"/>
        </w:rPr>
        <w:t>’</w:t>
      </w:r>
      <w:r w:rsidRPr="00DE7940">
        <w:rPr>
          <w:lang w:val="fr-CA"/>
        </w:rPr>
        <w:t xml:space="preserve">IOMC, </w:t>
      </w:r>
      <w:r w:rsidR="00A274F5" w:rsidRPr="00DE7940">
        <w:rPr>
          <w:lang w:val="fr-CA"/>
        </w:rPr>
        <w:t xml:space="preserve">sur </w:t>
      </w:r>
      <w:r w:rsidR="009B51ED" w:rsidRPr="00DE7940">
        <w:rPr>
          <w:lang w:val="fr-CA"/>
        </w:rPr>
        <w:t xml:space="preserve">un certain nombre de nouvelles questions de politique générale </w:t>
      </w:r>
      <w:r w:rsidR="00DA1D17" w:rsidRPr="00DE7940">
        <w:rPr>
          <w:lang w:val="fr-CA"/>
        </w:rPr>
        <w:t>et</w:t>
      </w:r>
      <w:r w:rsidR="009B51ED" w:rsidRPr="00DE7940">
        <w:rPr>
          <w:lang w:val="fr-CA"/>
        </w:rPr>
        <w:t xml:space="preserve"> d</w:t>
      </w:r>
      <w:r w:rsidR="000D794D" w:rsidRPr="00DE7940">
        <w:rPr>
          <w:lang w:val="fr-CA"/>
        </w:rPr>
        <w:t>’</w:t>
      </w:r>
      <w:r w:rsidR="009B51ED" w:rsidRPr="00DE7940">
        <w:rPr>
          <w:lang w:val="fr-CA"/>
        </w:rPr>
        <w:t>autres sujets de préoccupation pour l</w:t>
      </w:r>
      <w:r w:rsidR="000D794D" w:rsidRPr="00DE7940">
        <w:rPr>
          <w:lang w:val="fr-CA"/>
        </w:rPr>
        <w:t>’</w:t>
      </w:r>
      <w:r w:rsidR="009B51ED" w:rsidRPr="00DE7940">
        <w:rPr>
          <w:lang w:val="fr-CA"/>
        </w:rPr>
        <w:t>Approche stratégique.</w:t>
      </w:r>
      <w:r w:rsidR="00524CE1" w:rsidRPr="00DE7940">
        <w:rPr>
          <w:lang w:val="fr-CA"/>
        </w:rPr>
        <w:t xml:space="preserve"> </w:t>
      </w:r>
    </w:p>
    <w:p w:rsidR="00524CE1" w:rsidRPr="00DE7940" w:rsidRDefault="00A274F5" w:rsidP="007B020F">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Concernant les perturbateurs endocriniens, le PNUE a organisé des séances d</w:t>
      </w:r>
      <w:r w:rsidR="000D794D" w:rsidRPr="00DE7940">
        <w:rPr>
          <w:lang w:val="fr-CA"/>
        </w:rPr>
        <w:t>’</w:t>
      </w:r>
      <w:r w:rsidRPr="00DE7940">
        <w:rPr>
          <w:lang w:val="fr-CA"/>
        </w:rPr>
        <w:t>information en marge des réunions régionales de l</w:t>
      </w:r>
      <w:r w:rsidR="000D794D" w:rsidRPr="00DE7940">
        <w:rPr>
          <w:lang w:val="fr-CA"/>
        </w:rPr>
        <w:t>’</w:t>
      </w:r>
      <w:r w:rsidRPr="00DE7940">
        <w:rPr>
          <w:lang w:val="fr-CA"/>
        </w:rPr>
        <w:t>Approche stratégique pour l</w:t>
      </w:r>
      <w:r w:rsidR="000D794D" w:rsidRPr="00DE7940">
        <w:rPr>
          <w:lang w:val="fr-CA"/>
        </w:rPr>
        <w:t>’</w:t>
      </w:r>
      <w:r w:rsidRPr="00DE7940">
        <w:rPr>
          <w:lang w:val="fr-CA"/>
        </w:rPr>
        <w:t>Asie et le Pacifique, l</w:t>
      </w:r>
      <w:r w:rsidR="000D794D" w:rsidRPr="00DE7940">
        <w:rPr>
          <w:lang w:val="fr-CA"/>
        </w:rPr>
        <w:t>’</w:t>
      </w:r>
      <w:r w:rsidRPr="00DE7940">
        <w:rPr>
          <w:lang w:val="fr-CA"/>
        </w:rPr>
        <w:t>Europe centrale et orientale, l</w:t>
      </w:r>
      <w:r w:rsidR="000D794D" w:rsidRPr="00DE7940">
        <w:rPr>
          <w:lang w:val="fr-CA"/>
        </w:rPr>
        <w:t>’</w:t>
      </w:r>
      <w:r w:rsidRPr="00DE7940">
        <w:rPr>
          <w:lang w:val="fr-CA"/>
        </w:rPr>
        <w:t>Afrique, et l</w:t>
      </w:r>
      <w:r w:rsidR="000D794D" w:rsidRPr="00DE7940">
        <w:rPr>
          <w:lang w:val="fr-CA"/>
        </w:rPr>
        <w:t>’</w:t>
      </w:r>
      <w:r w:rsidRPr="00DE7940">
        <w:rPr>
          <w:lang w:val="fr-CA"/>
        </w:rPr>
        <w:t>Amérique latine et les Caraïbes.</w:t>
      </w:r>
      <w:r w:rsidR="00524CE1" w:rsidRPr="00DE7940">
        <w:rPr>
          <w:lang w:val="fr-CA"/>
        </w:rPr>
        <w:t xml:space="preserve"> </w:t>
      </w:r>
      <w:r w:rsidR="00DA1D17" w:rsidRPr="00DE7940">
        <w:rPr>
          <w:lang w:val="fr-CA"/>
        </w:rPr>
        <w:t>Il s</w:t>
      </w:r>
      <w:r w:rsidR="000D794D" w:rsidRPr="00DE7940">
        <w:rPr>
          <w:lang w:val="fr-CA"/>
        </w:rPr>
        <w:t>’</w:t>
      </w:r>
      <w:r w:rsidR="00DA1D17" w:rsidRPr="00DE7940">
        <w:rPr>
          <w:lang w:val="fr-CA"/>
        </w:rPr>
        <w:t>emploie maintenant à combler les lacunes en matière de connaissances et de politiques relevées lors des ateliers, au moyen d</w:t>
      </w:r>
      <w:r w:rsidR="000D794D" w:rsidRPr="00DE7940">
        <w:rPr>
          <w:lang w:val="fr-CA"/>
        </w:rPr>
        <w:t>’</w:t>
      </w:r>
      <w:r w:rsidR="00DA1D17" w:rsidRPr="00DE7940">
        <w:rPr>
          <w:lang w:val="fr-CA"/>
        </w:rPr>
        <w:t>un projet intitulé « Diffusion d</w:t>
      </w:r>
      <w:r w:rsidR="000D794D" w:rsidRPr="00DE7940">
        <w:rPr>
          <w:lang w:val="fr-CA"/>
        </w:rPr>
        <w:t>’</w:t>
      </w:r>
      <w:r w:rsidR="00DA1D17" w:rsidRPr="00DE7940">
        <w:rPr>
          <w:lang w:val="fr-CA"/>
        </w:rPr>
        <w:t>informations sur les perturbateurs endocriniens » dont le but est d</w:t>
      </w:r>
      <w:r w:rsidR="000D794D" w:rsidRPr="00DE7940">
        <w:rPr>
          <w:lang w:val="fr-CA"/>
        </w:rPr>
        <w:t>’</w:t>
      </w:r>
      <w:r w:rsidR="00DA1D17" w:rsidRPr="00DE7940">
        <w:rPr>
          <w:lang w:val="fr-CA"/>
        </w:rPr>
        <w:t>accroître la collaboration et la prise de conscience aux niveaux intergouvernemental et intersectoriel.</w:t>
      </w:r>
      <w:r w:rsidR="00524CE1" w:rsidRPr="00DE7940">
        <w:rPr>
          <w:lang w:val="fr-CA"/>
        </w:rPr>
        <w:t xml:space="preserve"> </w:t>
      </w:r>
      <w:r w:rsidR="00DA1D17" w:rsidRPr="00DE7940">
        <w:rPr>
          <w:lang w:val="fr-CA"/>
        </w:rPr>
        <w:t>Il travaille également à la création d</w:t>
      </w:r>
      <w:r w:rsidR="000D794D" w:rsidRPr="00DE7940">
        <w:rPr>
          <w:lang w:val="fr-CA"/>
        </w:rPr>
        <w:t>’</w:t>
      </w:r>
      <w:r w:rsidR="00DA1D17" w:rsidRPr="00DE7940">
        <w:rPr>
          <w:lang w:val="fr-CA"/>
        </w:rPr>
        <w:t xml:space="preserve">un site Web </w:t>
      </w:r>
      <w:r w:rsidR="007B020F" w:rsidRPr="00DE7940">
        <w:rPr>
          <w:lang w:val="fr-CA"/>
        </w:rPr>
        <w:t>entièrement consacré aux</w:t>
      </w:r>
      <w:r w:rsidR="00DA1D17" w:rsidRPr="00DE7940">
        <w:rPr>
          <w:lang w:val="fr-CA"/>
        </w:rPr>
        <w:t xml:space="preserve"> perturbateurs endocriniens</w:t>
      </w:r>
      <w:r w:rsidR="007B020F" w:rsidRPr="00DE7940">
        <w:rPr>
          <w:lang w:val="fr-CA"/>
        </w:rPr>
        <w:t xml:space="preserve"> et </w:t>
      </w:r>
      <w:r w:rsidR="002076BB">
        <w:rPr>
          <w:lang w:val="fr-CA"/>
        </w:rPr>
        <w:t xml:space="preserve">destiné à </w:t>
      </w:r>
      <w:r w:rsidR="007B020F" w:rsidRPr="00DE7940">
        <w:rPr>
          <w:lang w:val="fr-CA"/>
        </w:rPr>
        <w:t>mettre en relief les principaux messages</w:t>
      </w:r>
      <w:r w:rsidR="002076BB">
        <w:rPr>
          <w:lang w:val="fr-CA"/>
        </w:rPr>
        <w:t xml:space="preserve"> s’y rapportant</w:t>
      </w:r>
      <w:r w:rsidR="007B020F" w:rsidRPr="00DE7940">
        <w:rPr>
          <w:lang w:val="fr-CA"/>
        </w:rPr>
        <w:t>.</w:t>
      </w:r>
    </w:p>
    <w:p w:rsidR="00524CE1" w:rsidRPr="00DE7940" w:rsidRDefault="007B020F" w:rsidP="00097204">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S</w:t>
      </w:r>
      <w:r w:rsidR="000D794D" w:rsidRPr="00DE7940">
        <w:rPr>
          <w:lang w:val="fr-CA"/>
        </w:rPr>
        <w:t>’</w:t>
      </w:r>
      <w:r w:rsidRPr="00DE7940">
        <w:rPr>
          <w:lang w:val="fr-CA"/>
        </w:rPr>
        <w:t>agissant des substances chimiques incorporées dans les produits, le programme élaboré par le PNUE en tant que cadre volontaire pour toutes les parties prenantes de l</w:t>
      </w:r>
      <w:r w:rsidR="000D794D" w:rsidRPr="00DE7940">
        <w:rPr>
          <w:lang w:val="fr-CA"/>
        </w:rPr>
        <w:t>’</w:t>
      </w:r>
      <w:r w:rsidRPr="00DE7940">
        <w:rPr>
          <w:lang w:val="fr-CA"/>
        </w:rPr>
        <w:t>Approche stratégique a été accueilli avec satisfaction par la Conférence internationale sur la gestion des produits chimiques à sa quatrième session. La Conférence a par ailleurs pris note des orientations sur les substances chimiques incorporées dans les produits établies par le PNUE en accompagnement du programme, qui constituent un moyen pratique d</w:t>
      </w:r>
      <w:r w:rsidR="000D794D" w:rsidRPr="00DE7940">
        <w:rPr>
          <w:lang w:val="fr-CA"/>
        </w:rPr>
        <w:t>’</w:t>
      </w:r>
      <w:r w:rsidRPr="00DE7940">
        <w:rPr>
          <w:lang w:val="fr-CA"/>
        </w:rPr>
        <w:t>appuyer la mise en œuvre de ce dernier.</w:t>
      </w:r>
      <w:r w:rsidR="00524CE1" w:rsidRPr="00DE7940">
        <w:rPr>
          <w:lang w:val="fr-CA"/>
        </w:rPr>
        <w:t xml:space="preserve"> </w:t>
      </w:r>
      <w:r w:rsidR="001422A4" w:rsidRPr="00DE7940">
        <w:rPr>
          <w:lang w:val="fr-CA"/>
        </w:rPr>
        <w:t>Le PNUE a été invité à continuer de mener le programme de manière ouverte, transparente et inclusive et de promouvoir et faciliter les activités connexes, avec le concours des parties prenantes.</w:t>
      </w:r>
      <w:r w:rsidR="00524CE1" w:rsidRPr="00DE7940">
        <w:rPr>
          <w:lang w:val="fr-CA"/>
        </w:rPr>
        <w:t xml:space="preserve"> </w:t>
      </w:r>
      <w:r w:rsidR="001422A4" w:rsidRPr="00DE7940">
        <w:rPr>
          <w:lang w:val="fr-CA"/>
        </w:rPr>
        <w:t>Il exécute actuellement des activités pilotes pour faciliter l</w:t>
      </w:r>
      <w:r w:rsidR="000D794D" w:rsidRPr="00DE7940">
        <w:rPr>
          <w:lang w:val="fr-CA"/>
        </w:rPr>
        <w:t>’</w:t>
      </w:r>
      <w:r w:rsidR="001422A4" w:rsidRPr="00DE7940">
        <w:rPr>
          <w:lang w:val="fr-CA"/>
        </w:rPr>
        <w:t>échange d</w:t>
      </w:r>
      <w:r w:rsidR="000D794D" w:rsidRPr="00DE7940">
        <w:rPr>
          <w:lang w:val="fr-CA"/>
        </w:rPr>
        <w:t>’</w:t>
      </w:r>
      <w:r w:rsidR="001422A4" w:rsidRPr="00DE7940">
        <w:rPr>
          <w:lang w:val="fr-CA"/>
        </w:rPr>
        <w:t xml:space="preserve">informations sur les substances chimiques </w:t>
      </w:r>
      <w:r w:rsidR="00B00EF3" w:rsidRPr="00DE7940">
        <w:rPr>
          <w:lang w:val="fr-CA"/>
        </w:rPr>
        <w:t>incorporées</w:t>
      </w:r>
      <w:r w:rsidR="001422A4" w:rsidRPr="00DE7940">
        <w:rPr>
          <w:lang w:val="fr-CA"/>
        </w:rPr>
        <w:t xml:space="preserve"> dans les produits textiles en Chine et continuera à associer les principaux intéressés à l</w:t>
      </w:r>
      <w:r w:rsidR="000D794D" w:rsidRPr="00DE7940">
        <w:rPr>
          <w:lang w:val="fr-CA"/>
        </w:rPr>
        <w:t>’</w:t>
      </w:r>
      <w:r w:rsidR="001422A4" w:rsidRPr="00DE7940">
        <w:rPr>
          <w:lang w:val="fr-CA"/>
        </w:rPr>
        <w:t>examen d</w:t>
      </w:r>
      <w:r w:rsidR="000D794D" w:rsidRPr="00DE7940">
        <w:rPr>
          <w:lang w:val="fr-CA"/>
        </w:rPr>
        <w:t>’</w:t>
      </w:r>
      <w:r w:rsidR="001422A4" w:rsidRPr="00DE7940">
        <w:rPr>
          <w:lang w:val="fr-CA"/>
        </w:rPr>
        <w:t xml:space="preserve">autres groupes de produits </w:t>
      </w:r>
      <w:r w:rsidR="00097204" w:rsidRPr="00DE7940">
        <w:rPr>
          <w:lang w:val="fr-CA"/>
        </w:rPr>
        <w:t xml:space="preserve">de grande importance, </w:t>
      </w:r>
      <w:r w:rsidR="001422A4" w:rsidRPr="00DE7940">
        <w:rPr>
          <w:lang w:val="fr-CA"/>
        </w:rPr>
        <w:t>tels que les jouets, les appareils électroniques et les matériaux de construction.</w:t>
      </w:r>
      <w:r w:rsidR="00524CE1" w:rsidRPr="00DE7940">
        <w:rPr>
          <w:lang w:val="fr-CA"/>
        </w:rPr>
        <w:t xml:space="preserve"> </w:t>
      </w:r>
    </w:p>
    <w:p w:rsidR="00524CE1" w:rsidRPr="00DE7940" w:rsidRDefault="00097204" w:rsidP="00097204">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Dans le cadre du suivi de la quatrième session de la Conférence internationale sur la gestion des produits chimiques, le PNUE collaborera avec l</w:t>
      </w:r>
      <w:r w:rsidR="000D794D" w:rsidRPr="00DE7940">
        <w:rPr>
          <w:lang w:val="fr-CA"/>
        </w:rPr>
        <w:t>’</w:t>
      </w:r>
      <w:r w:rsidRPr="00DE7940">
        <w:rPr>
          <w:lang w:val="fr-CA"/>
        </w:rPr>
        <w:t>OMS et l</w:t>
      </w:r>
      <w:r w:rsidR="000D794D" w:rsidRPr="00DE7940">
        <w:rPr>
          <w:lang w:val="fr-CA"/>
        </w:rPr>
        <w:t>’</w:t>
      </w:r>
      <w:r w:rsidRPr="00DE7940">
        <w:rPr>
          <w:lang w:val="fr-CA"/>
        </w:rPr>
        <w:t>Organisation des Nations Unies pour l</w:t>
      </w:r>
      <w:r w:rsidR="000D794D" w:rsidRPr="00DE7940">
        <w:rPr>
          <w:lang w:val="fr-CA"/>
        </w:rPr>
        <w:t>’</w:t>
      </w:r>
      <w:r w:rsidRPr="00DE7940">
        <w:rPr>
          <w:lang w:val="fr-CA"/>
        </w:rPr>
        <w:t>alimentation et l</w:t>
      </w:r>
      <w:r w:rsidR="000D794D" w:rsidRPr="00DE7940">
        <w:rPr>
          <w:lang w:val="fr-CA"/>
        </w:rPr>
        <w:t>’</w:t>
      </w:r>
      <w:r w:rsidRPr="00DE7940">
        <w:rPr>
          <w:lang w:val="fr-CA"/>
        </w:rPr>
        <w:t>agriculture (FAO) pour définir les modalités de la coordination internationale sur les pesticides hautement dangereux dans le contexte de l</w:t>
      </w:r>
      <w:r w:rsidR="000D794D" w:rsidRPr="00DE7940">
        <w:rPr>
          <w:lang w:val="fr-CA"/>
        </w:rPr>
        <w:t>’</w:t>
      </w:r>
      <w:r w:rsidRPr="00DE7940">
        <w:rPr>
          <w:lang w:val="fr-CA"/>
        </w:rPr>
        <w:t>IOMC.</w:t>
      </w:r>
      <w:r w:rsidR="00524CE1" w:rsidRPr="00DE7940">
        <w:rPr>
          <w:lang w:val="fr-CA"/>
        </w:rPr>
        <w:t xml:space="preserve"> </w:t>
      </w:r>
      <w:r w:rsidRPr="00DE7940">
        <w:rPr>
          <w:lang w:val="fr-CA"/>
        </w:rPr>
        <w:t>À l</w:t>
      </w:r>
      <w:r w:rsidR="000D794D" w:rsidRPr="00DE7940">
        <w:rPr>
          <w:lang w:val="fr-CA"/>
        </w:rPr>
        <w:t>’</w:t>
      </w:r>
      <w:r w:rsidRPr="00DE7940">
        <w:rPr>
          <w:lang w:val="fr-CA"/>
        </w:rPr>
        <w:t>appui de ces travaux, le PNUE et d</w:t>
      </w:r>
      <w:r w:rsidR="000D794D" w:rsidRPr="00DE7940">
        <w:rPr>
          <w:lang w:val="fr-CA"/>
        </w:rPr>
        <w:t>’</w:t>
      </w:r>
      <w:r w:rsidRPr="00DE7940">
        <w:rPr>
          <w:lang w:val="fr-CA"/>
        </w:rPr>
        <w:t>autres organisations participant à l</w:t>
      </w:r>
      <w:r w:rsidR="000D794D" w:rsidRPr="00DE7940">
        <w:rPr>
          <w:lang w:val="fr-CA"/>
        </w:rPr>
        <w:t>’</w:t>
      </w:r>
      <w:r w:rsidRPr="00DE7940">
        <w:rPr>
          <w:lang w:val="fr-CA"/>
        </w:rPr>
        <w:t>IOMC ont mis sur pied, avec le concours du Secrétariat des conventions de Bâle, de Rotterdam et de Stockholm, un petit groupe de travail chargé d</w:t>
      </w:r>
      <w:r w:rsidR="000D794D" w:rsidRPr="00DE7940">
        <w:rPr>
          <w:lang w:val="fr-CA"/>
        </w:rPr>
        <w:t>’</w:t>
      </w:r>
      <w:r w:rsidRPr="00DE7940">
        <w:rPr>
          <w:lang w:val="fr-CA"/>
        </w:rPr>
        <w:t>élaborer un portail pour la mise en commun et la présentation de manière uniforme d</w:t>
      </w:r>
      <w:r w:rsidR="000D794D" w:rsidRPr="00DE7940">
        <w:rPr>
          <w:lang w:val="fr-CA"/>
        </w:rPr>
        <w:t>’</w:t>
      </w:r>
      <w:r w:rsidRPr="00DE7940">
        <w:rPr>
          <w:lang w:val="fr-CA"/>
        </w:rPr>
        <w:t>informations provenant de diverses sources.</w:t>
      </w:r>
      <w:r w:rsidR="00524CE1" w:rsidRPr="00DE7940">
        <w:rPr>
          <w:lang w:val="fr-CA"/>
        </w:rPr>
        <w:t xml:space="preserve"> </w:t>
      </w:r>
    </w:p>
    <w:p w:rsidR="00524CE1" w:rsidRPr="00DE7940" w:rsidRDefault="00097204" w:rsidP="00956CEE">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La Conférence, à sa quatrième session, a confirmé les polluants pharmaceutiques persistants comme nouvelle question de politique générale; a convenu que la coopération internationale était indispensable pour faire mieux connaître et comprendre le problème et promouvoir l</w:t>
      </w:r>
      <w:r w:rsidR="000D794D" w:rsidRPr="00DE7940">
        <w:rPr>
          <w:lang w:val="fr-CA"/>
        </w:rPr>
        <w:t>’</w:t>
      </w:r>
      <w:r w:rsidRPr="00DE7940">
        <w:rPr>
          <w:lang w:val="fr-CA"/>
        </w:rPr>
        <w:t>adoption de mesures le concernant; et a reconnu l</w:t>
      </w:r>
      <w:r w:rsidR="000D794D" w:rsidRPr="00DE7940">
        <w:rPr>
          <w:lang w:val="fr-CA"/>
        </w:rPr>
        <w:t>’</w:t>
      </w:r>
      <w:r w:rsidRPr="00DE7940">
        <w:rPr>
          <w:lang w:val="fr-CA"/>
        </w:rPr>
        <w:t>existence de lacunes dans les connaissances sur l</w:t>
      </w:r>
      <w:r w:rsidR="000D794D" w:rsidRPr="00DE7940">
        <w:rPr>
          <w:lang w:val="fr-CA"/>
        </w:rPr>
        <w:t>’</w:t>
      </w:r>
      <w:r w:rsidRPr="00DE7940">
        <w:rPr>
          <w:lang w:val="fr-CA"/>
        </w:rPr>
        <w:t xml:space="preserve">exposition aux polluants pharmaceutiques persistants et sur leurs effets ainsi que la nécessité </w:t>
      </w:r>
      <w:r w:rsidR="002076BB">
        <w:rPr>
          <w:lang w:val="fr-CA"/>
        </w:rPr>
        <w:t xml:space="preserve">urgente </w:t>
      </w:r>
      <w:r w:rsidR="00A347AC" w:rsidRPr="00DE7940">
        <w:rPr>
          <w:lang w:val="fr-CA"/>
        </w:rPr>
        <w:t>d</w:t>
      </w:r>
      <w:r w:rsidR="000D794D" w:rsidRPr="00DE7940">
        <w:rPr>
          <w:lang w:val="fr-CA"/>
        </w:rPr>
        <w:t>’</w:t>
      </w:r>
      <w:r w:rsidR="00A347AC" w:rsidRPr="00DE7940">
        <w:rPr>
          <w:lang w:val="fr-CA"/>
        </w:rPr>
        <w:t xml:space="preserve">améliorer </w:t>
      </w:r>
      <w:r w:rsidR="002636EA" w:rsidRPr="00DE7940">
        <w:rPr>
          <w:lang w:val="fr-CA"/>
        </w:rPr>
        <w:t>la disponibilité d</w:t>
      </w:r>
      <w:r w:rsidR="000D794D" w:rsidRPr="00DE7940">
        <w:rPr>
          <w:lang w:val="fr-CA"/>
        </w:rPr>
        <w:t>’</w:t>
      </w:r>
      <w:r w:rsidR="002636EA" w:rsidRPr="00DE7940">
        <w:rPr>
          <w:lang w:val="fr-CA"/>
        </w:rPr>
        <w:t>informat</w:t>
      </w:r>
      <w:r w:rsidR="00A347AC" w:rsidRPr="00DE7940">
        <w:rPr>
          <w:lang w:val="fr-CA"/>
        </w:rPr>
        <w:t>ions pertinentes et l</w:t>
      </w:r>
      <w:r w:rsidR="000D794D" w:rsidRPr="00DE7940">
        <w:rPr>
          <w:lang w:val="fr-CA"/>
        </w:rPr>
        <w:t>’</w:t>
      </w:r>
      <w:r w:rsidR="00A347AC" w:rsidRPr="00DE7940">
        <w:rPr>
          <w:lang w:val="fr-CA"/>
        </w:rPr>
        <w:t>accès à ces informations.</w:t>
      </w:r>
      <w:r w:rsidR="00524CE1" w:rsidRPr="00DE7940">
        <w:rPr>
          <w:lang w:val="fr-CA"/>
        </w:rPr>
        <w:t xml:space="preserve"> </w:t>
      </w:r>
      <w:r w:rsidR="00A347AC" w:rsidRPr="00DE7940">
        <w:rPr>
          <w:lang w:val="fr-CA"/>
        </w:rPr>
        <w:t>À cet égard, le PNUE attache une grande importance à la production et au partage d</w:t>
      </w:r>
      <w:r w:rsidR="000D794D" w:rsidRPr="00DE7940">
        <w:rPr>
          <w:lang w:val="fr-CA"/>
        </w:rPr>
        <w:t>’</w:t>
      </w:r>
      <w:r w:rsidR="00A347AC" w:rsidRPr="00DE7940">
        <w:rPr>
          <w:lang w:val="fr-CA"/>
        </w:rPr>
        <w:t>informations pour combler les lacunes identifiées.</w:t>
      </w:r>
      <w:r w:rsidR="00524CE1" w:rsidRPr="00DE7940">
        <w:rPr>
          <w:lang w:val="fr-CA"/>
        </w:rPr>
        <w:t xml:space="preserve"> </w:t>
      </w:r>
      <w:r w:rsidR="00F47480" w:rsidRPr="00DE7940">
        <w:rPr>
          <w:lang w:val="fr-CA"/>
        </w:rPr>
        <w:t xml:space="preserve">Il </w:t>
      </w:r>
      <w:r w:rsidR="00956CEE" w:rsidRPr="00DE7940">
        <w:rPr>
          <w:lang w:val="fr-CA"/>
        </w:rPr>
        <w:t>a</w:t>
      </w:r>
      <w:r w:rsidR="00F47480" w:rsidRPr="00DE7940">
        <w:rPr>
          <w:lang w:val="fr-CA"/>
        </w:rPr>
        <w:t xml:space="preserve"> </w:t>
      </w:r>
      <w:r w:rsidR="00F37DEB">
        <w:rPr>
          <w:lang w:val="fr-CA"/>
        </w:rPr>
        <w:t>lancé des travaux exploratoires</w:t>
      </w:r>
      <w:r w:rsidR="002076BB">
        <w:rPr>
          <w:lang w:val="fr-CA"/>
        </w:rPr>
        <w:t xml:space="preserve"> visant à</w:t>
      </w:r>
      <w:r w:rsidR="00490246" w:rsidRPr="00DE7940">
        <w:rPr>
          <w:lang w:val="fr-CA"/>
        </w:rPr>
        <w:t xml:space="preserve"> </w:t>
      </w:r>
      <w:r w:rsidR="00D42C6F" w:rsidRPr="00DE7940">
        <w:rPr>
          <w:lang w:val="fr-CA"/>
        </w:rPr>
        <w:t>délimiter</w:t>
      </w:r>
      <w:r w:rsidR="00490246" w:rsidRPr="00DE7940">
        <w:rPr>
          <w:lang w:val="fr-CA"/>
        </w:rPr>
        <w:t xml:space="preserve"> et </w:t>
      </w:r>
      <w:r w:rsidR="00D42C6F" w:rsidRPr="00DE7940">
        <w:rPr>
          <w:lang w:val="fr-CA"/>
        </w:rPr>
        <w:t>r</w:t>
      </w:r>
      <w:r w:rsidR="006277A3" w:rsidRPr="00DE7940">
        <w:rPr>
          <w:lang w:val="fr-CA"/>
        </w:rPr>
        <w:t>épertori</w:t>
      </w:r>
      <w:r w:rsidR="00490246" w:rsidRPr="00DE7940">
        <w:rPr>
          <w:lang w:val="fr-CA"/>
        </w:rPr>
        <w:t xml:space="preserve">er </w:t>
      </w:r>
      <w:r w:rsidR="00D42C6F" w:rsidRPr="00DE7940">
        <w:rPr>
          <w:lang w:val="fr-CA"/>
        </w:rPr>
        <w:t>les</w:t>
      </w:r>
      <w:r w:rsidR="00956CEE" w:rsidRPr="00DE7940">
        <w:rPr>
          <w:lang w:val="fr-CA"/>
        </w:rPr>
        <w:t xml:space="preserve"> informations, études, pratiques, législations applicables, parties prenantes et travaux en cours ayant </w:t>
      </w:r>
      <w:r w:rsidR="00D42C6F" w:rsidRPr="00DE7940">
        <w:rPr>
          <w:lang w:val="fr-CA"/>
        </w:rPr>
        <w:t xml:space="preserve">un rapport avec </w:t>
      </w:r>
      <w:r w:rsidR="002076BB">
        <w:rPr>
          <w:lang w:val="fr-CA"/>
        </w:rPr>
        <w:t>cette nouvelle question de politique générale</w:t>
      </w:r>
      <w:r w:rsidR="00956CEE" w:rsidRPr="00DE7940">
        <w:rPr>
          <w:lang w:val="fr-CA"/>
        </w:rPr>
        <w:t>.</w:t>
      </w:r>
      <w:r w:rsidR="00524CE1" w:rsidRPr="00DE7940">
        <w:rPr>
          <w:lang w:val="fr-CA"/>
        </w:rPr>
        <w:t xml:space="preserve"> </w:t>
      </w:r>
      <w:r w:rsidR="00F37DEB">
        <w:rPr>
          <w:lang w:val="fr-CA"/>
        </w:rPr>
        <w:t>Le résultat de ces travaux sera une compilation des principales sources d’informations et de connaissances qui sera diffusée par voie électronique.</w:t>
      </w:r>
    </w:p>
    <w:p w:rsidR="00524CE1" w:rsidRPr="00DE7940" w:rsidRDefault="00524CE1" w:rsidP="00995334">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lastRenderedPageBreak/>
        <w:tab/>
      </w:r>
      <w:r w:rsidR="00956CEE" w:rsidRPr="00DE7940">
        <w:rPr>
          <w:lang w:val="fr-CA"/>
        </w:rPr>
        <w:t>Plomb et cadmium</w:t>
      </w:r>
    </w:p>
    <w:p w:rsidR="00524CE1" w:rsidRPr="00DE7940" w:rsidRDefault="00956CEE" w:rsidP="00995334">
      <w:pPr>
        <w:pStyle w:val="Normalnumber"/>
        <w:keepNext/>
        <w:keepLines/>
        <w:numPr>
          <w:ilvl w:val="0"/>
          <w:numId w:val="34"/>
        </w:numPr>
        <w:tabs>
          <w:tab w:val="clear" w:pos="1247"/>
          <w:tab w:val="clear" w:pos="1814"/>
          <w:tab w:val="clear" w:pos="2381"/>
          <w:tab w:val="clear" w:pos="2948"/>
          <w:tab w:val="clear" w:pos="3515"/>
          <w:tab w:val="clear" w:pos="4082"/>
          <w:tab w:val="left" w:pos="624"/>
        </w:tabs>
        <w:ind w:left="1247" w:firstLine="0"/>
        <w:rPr>
          <w:bCs/>
          <w:lang w:val="fr-CA"/>
        </w:rPr>
      </w:pPr>
      <w:r w:rsidRPr="00DE7940">
        <w:rPr>
          <w:bCs/>
          <w:lang w:val="fr-CA"/>
        </w:rPr>
        <w:t>À la première session de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 xml:space="preserve">environnement, les États membres ont </w:t>
      </w:r>
      <w:r w:rsidR="00D42C6F" w:rsidRPr="00DE7940">
        <w:rPr>
          <w:bCs/>
          <w:lang w:val="fr-CA"/>
        </w:rPr>
        <w:t xml:space="preserve">reconnu </w:t>
      </w:r>
      <w:r w:rsidR="00D42C6F" w:rsidRPr="00DE7940">
        <w:rPr>
          <w:lang w:val="fr-CA"/>
        </w:rPr>
        <w:t>les risques importants que présentent pour la santé humaine et pour l</w:t>
      </w:r>
      <w:r w:rsidR="000D794D" w:rsidRPr="00DE7940">
        <w:rPr>
          <w:lang w:val="fr-CA"/>
        </w:rPr>
        <w:t>’</w:t>
      </w:r>
      <w:r w:rsidR="00D42C6F" w:rsidRPr="00DE7940">
        <w:rPr>
          <w:lang w:val="fr-CA"/>
        </w:rPr>
        <w:t>environnement les rejets de plomb et de cadmium dans l</w:t>
      </w:r>
      <w:r w:rsidR="000D794D" w:rsidRPr="00DE7940">
        <w:rPr>
          <w:lang w:val="fr-CA"/>
        </w:rPr>
        <w:t>’</w:t>
      </w:r>
      <w:r w:rsidR="00D42C6F" w:rsidRPr="00DE7940">
        <w:rPr>
          <w:lang w:val="fr-CA"/>
        </w:rPr>
        <w:t>environnement et ont prié le PNUE, en coordination avec l</w:t>
      </w:r>
      <w:r w:rsidR="000D794D" w:rsidRPr="00DE7940">
        <w:rPr>
          <w:lang w:val="fr-CA"/>
        </w:rPr>
        <w:t>’</w:t>
      </w:r>
      <w:r w:rsidR="00D42C6F" w:rsidRPr="00DE7940">
        <w:rPr>
          <w:lang w:val="fr-CA"/>
        </w:rPr>
        <w:t>OMS, de continuer de renforcer les capacités sur la question des peintures au plomb moyennant l</w:t>
      </w:r>
      <w:r w:rsidR="000D794D" w:rsidRPr="00DE7940">
        <w:rPr>
          <w:lang w:val="fr-CA"/>
        </w:rPr>
        <w:t>’</w:t>
      </w:r>
      <w:r w:rsidR="00D42C6F" w:rsidRPr="00DE7940">
        <w:rPr>
          <w:lang w:val="fr-CA"/>
        </w:rPr>
        <w:t>organisation éventuelle d</w:t>
      </w:r>
      <w:r w:rsidR="000D794D" w:rsidRPr="00DE7940">
        <w:rPr>
          <w:lang w:val="fr-CA"/>
        </w:rPr>
        <w:t>’</w:t>
      </w:r>
      <w:r w:rsidR="00D42C6F" w:rsidRPr="00DE7940">
        <w:rPr>
          <w:lang w:val="fr-CA"/>
        </w:rPr>
        <w:t>ateliers régionaux.</w:t>
      </w:r>
    </w:p>
    <w:p w:rsidR="00524CE1" w:rsidRPr="00DE7940" w:rsidRDefault="00D42C6F" w:rsidP="009E2E85">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PNUE et l</w:t>
      </w:r>
      <w:r w:rsidR="000D794D" w:rsidRPr="00DE7940">
        <w:rPr>
          <w:lang w:val="fr-CA"/>
        </w:rPr>
        <w:t>’</w:t>
      </w:r>
      <w:r w:rsidRPr="00DE7940">
        <w:rPr>
          <w:lang w:val="fr-CA"/>
        </w:rPr>
        <w:t>OMS assurent conjointement la présidence de l</w:t>
      </w:r>
      <w:r w:rsidR="000D794D" w:rsidRPr="00DE7940">
        <w:rPr>
          <w:lang w:val="fr-CA"/>
        </w:rPr>
        <w:t>’</w:t>
      </w:r>
      <w:r w:rsidRPr="00DE7940">
        <w:rPr>
          <w:lang w:val="fr-CA"/>
        </w:rPr>
        <w:t>Alliance mondiale pour l</w:t>
      </w:r>
      <w:r w:rsidR="000D794D" w:rsidRPr="00DE7940">
        <w:rPr>
          <w:lang w:val="fr-CA"/>
        </w:rPr>
        <w:t>’</w:t>
      </w:r>
      <w:r w:rsidRPr="00DE7940">
        <w:rPr>
          <w:lang w:val="fr-CA"/>
        </w:rPr>
        <w:t>élimination des peintures au plomb, dont le but est de définir d</w:t>
      </w:r>
      <w:r w:rsidR="000D794D" w:rsidRPr="00DE7940">
        <w:rPr>
          <w:lang w:val="fr-CA"/>
        </w:rPr>
        <w:t>’</w:t>
      </w:r>
      <w:r w:rsidRPr="00DE7940">
        <w:rPr>
          <w:lang w:val="fr-CA"/>
        </w:rPr>
        <w:t>ici à 2020 des limites juridiquement contraignantes pour l</w:t>
      </w:r>
      <w:r w:rsidR="000D794D" w:rsidRPr="00DE7940">
        <w:rPr>
          <w:lang w:val="fr-CA"/>
        </w:rPr>
        <w:t>’</w:t>
      </w:r>
      <w:r w:rsidRPr="00DE7940">
        <w:rPr>
          <w:lang w:val="fr-CA"/>
        </w:rPr>
        <w:t xml:space="preserve">utilisation de ces peintures. En août 2015, un total de 59 gouvernements </w:t>
      </w:r>
      <w:proofErr w:type="gramStart"/>
      <w:r w:rsidRPr="00DE7940">
        <w:rPr>
          <w:lang w:val="fr-CA"/>
        </w:rPr>
        <w:t>avaient</w:t>
      </w:r>
      <w:proofErr w:type="gramEnd"/>
      <w:r w:rsidRPr="00DE7940">
        <w:rPr>
          <w:lang w:val="fr-CA"/>
        </w:rPr>
        <w:t xml:space="preserve"> déclaré avoir mis en place des restrictions juridiquement contraignantes dans ce domaine.</w:t>
      </w:r>
      <w:r w:rsidR="00524CE1" w:rsidRPr="00DE7940">
        <w:rPr>
          <w:lang w:val="fr-CA"/>
        </w:rPr>
        <w:t xml:space="preserve"> </w:t>
      </w:r>
      <w:r w:rsidRPr="00DE7940">
        <w:rPr>
          <w:lang w:val="fr-CA"/>
        </w:rPr>
        <w:t>En septembre 2015, afin d</w:t>
      </w:r>
      <w:r w:rsidR="000D794D" w:rsidRPr="00DE7940">
        <w:rPr>
          <w:lang w:val="fr-CA"/>
        </w:rPr>
        <w:t>’</w:t>
      </w:r>
      <w:r w:rsidRPr="00DE7940">
        <w:rPr>
          <w:lang w:val="fr-CA"/>
        </w:rPr>
        <w:t>aider les gouvernements et les parties prenantes à se débarrasser progressivement des peintures au plomb, l</w:t>
      </w:r>
      <w:r w:rsidR="000D794D" w:rsidRPr="00DE7940">
        <w:rPr>
          <w:lang w:val="fr-CA"/>
        </w:rPr>
        <w:t>’</w:t>
      </w:r>
      <w:r w:rsidRPr="00DE7940">
        <w:rPr>
          <w:lang w:val="fr-CA"/>
        </w:rPr>
        <w:t>Alliance, avec le soutien de l</w:t>
      </w:r>
      <w:r w:rsidR="000D794D" w:rsidRPr="00DE7940">
        <w:rPr>
          <w:lang w:val="fr-CA"/>
        </w:rPr>
        <w:t>’</w:t>
      </w:r>
      <w:r w:rsidRPr="00DE7940">
        <w:rPr>
          <w:lang w:val="fr-CA"/>
        </w:rPr>
        <w:t>Agence américaine pour la protection de l</w:t>
      </w:r>
      <w:r w:rsidR="000D794D" w:rsidRPr="00DE7940">
        <w:rPr>
          <w:lang w:val="fr-CA"/>
        </w:rPr>
        <w:t>’</w:t>
      </w:r>
      <w:r w:rsidRPr="00DE7940">
        <w:rPr>
          <w:lang w:val="fr-CA"/>
        </w:rPr>
        <w:t xml:space="preserve">environnement, a lancé </w:t>
      </w:r>
      <w:r w:rsidR="009E2E85" w:rsidRPr="00DE7940">
        <w:rPr>
          <w:lang w:val="fr-CA"/>
        </w:rPr>
        <w:t>une panoplie d</w:t>
      </w:r>
      <w:r w:rsidR="000D794D" w:rsidRPr="00DE7940">
        <w:rPr>
          <w:lang w:val="fr-CA"/>
        </w:rPr>
        <w:t>’</w:t>
      </w:r>
      <w:r w:rsidR="009E2E85" w:rsidRPr="00DE7940">
        <w:rPr>
          <w:lang w:val="fr-CA"/>
        </w:rPr>
        <w:t>outils en ligne pour l</w:t>
      </w:r>
      <w:r w:rsidR="000D794D" w:rsidRPr="00DE7940">
        <w:rPr>
          <w:lang w:val="fr-CA"/>
        </w:rPr>
        <w:t>’</w:t>
      </w:r>
      <w:r w:rsidR="009E2E85" w:rsidRPr="00DE7940">
        <w:rPr>
          <w:lang w:val="fr-CA"/>
        </w:rPr>
        <w:t>établissement de législations relatives à l</w:t>
      </w:r>
      <w:r w:rsidR="000D794D" w:rsidRPr="00DE7940">
        <w:rPr>
          <w:lang w:val="fr-CA"/>
        </w:rPr>
        <w:t>’</w:t>
      </w:r>
      <w:r w:rsidR="009E2E85" w:rsidRPr="00DE7940">
        <w:rPr>
          <w:lang w:val="fr-CA"/>
        </w:rPr>
        <w:t xml:space="preserve">utilisation de </w:t>
      </w:r>
      <w:r w:rsidR="006277A3" w:rsidRPr="00DE7940">
        <w:rPr>
          <w:lang w:val="fr-CA"/>
        </w:rPr>
        <w:t xml:space="preserve">ces </w:t>
      </w:r>
      <w:r w:rsidR="009E2E85" w:rsidRPr="00DE7940">
        <w:rPr>
          <w:lang w:val="fr-CA"/>
        </w:rPr>
        <w:t>peintures.</w:t>
      </w:r>
      <w:r w:rsidR="00524CE1" w:rsidRPr="00DE7940">
        <w:rPr>
          <w:lang w:val="fr-CA"/>
        </w:rPr>
        <w:t xml:space="preserve"> </w:t>
      </w:r>
      <w:r w:rsidR="009E2E85" w:rsidRPr="00DE7940">
        <w:rPr>
          <w:lang w:val="fr-CA"/>
        </w:rPr>
        <w:t xml:space="preserve">En décembre 2015, le PNUE a organisé à </w:t>
      </w:r>
      <w:proofErr w:type="spellStart"/>
      <w:r w:rsidR="009E2E85" w:rsidRPr="00DE7940">
        <w:rPr>
          <w:lang w:val="fr-CA"/>
        </w:rPr>
        <w:t>Addis</w:t>
      </w:r>
      <w:proofErr w:type="spellEnd"/>
      <w:r w:rsidR="009E2E85" w:rsidRPr="00DE7940">
        <w:rPr>
          <w:lang w:val="fr-CA"/>
        </w:rPr>
        <w:t xml:space="preserve"> </w:t>
      </w:r>
      <w:proofErr w:type="spellStart"/>
      <w:r w:rsidR="009E2E85" w:rsidRPr="00DE7940">
        <w:rPr>
          <w:lang w:val="fr-CA"/>
        </w:rPr>
        <w:t>Abeba</w:t>
      </w:r>
      <w:proofErr w:type="spellEnd"/>
      <w:r w:rsidR="009E2E85" w:rsidRPr="00DE7940">
        <w:rPr>
          <w:lang w:val="fr-CA"/>
        </w:rPr>
        <w:t xml:space="preserve"> un atelier </w:t>
      </w:r>
      <w:proofErr w:type="spellStart"/>
      <w:r w:rsidR="009E2E85" w:rsidRPr="00DE7940">
        <w:rPr>
          <w:lang w:val="fr-CA"/>
        </w:rPr>
        <w:t>sous-régional</w:t>
      </w:r>
      <w:proofErr w:type="spellEnd"/>
      <w:r w:rsidR="009E2E85" w:rsidRPr="00DE7940">
        <w:rPr>
          <w:lang w:val="fr-CA"/>
        </w:rPr>
        <w:t xml:space="preserve"> pour l</w:t>
      </w:r>
      <w:r w:rsidR="000D794D" w:rsidRPr="00DE7940">
        <w:rPr>
          <w:lang w:val="fr-CA"/>
        </w:rPr>
        <w:t>’</w:t>
      </w:r>
      <w:r w:rsidR="009E2E85" w:rsidRPr="00DE7940">
        <w:rPr>
          <w:lang w:val="fr-CA"/>
        </w:rPr>
        <w:t>Afrique orientale destiné à aider les gouvernements à mettre en place des r</w:t>
      </w:r>
      <w:r w:rsidR="006277A3" w:rsidRPr="00DE7940">
        <w:rPr>
          <w:lang w:val="fr-CA"/>
        </w:rPr>
        <w:t>é</w:t>
      </w:r>
      <w:r w:rsidR="009E2E85" w:rsidRPr="00DE7940">
        <w:rPr>
          <w:lang w:val="fr-CA"/>
        </w:rPr>
        <w:t>glement</w:t>
      </w:r>
      <w:r w:rsidR="006277A3" w:rsidRPr="00DE7940">
        <w:rPr>
          <w:lang w:val="fr-CA"/>
        </w:rPr>
        <w:t>ation</w:t>
      </w:r>
      <w:r w:rsidR="009E2E85" w:rsidRPr="00DE7940">
        <w:rPr>
          <w:lang w:val="fr-CA"/>
        </w:rPr>
        <w:t xml:space="preserve">s </w:t>
      </w:r>
      <w:r w:rsidR="006277A3" w:rsidRPr="00DE7940">
        <w:rPr>
          <w:lang w:val="fr-CA"/>
        </w:rPr>
        <w:t>en la matière</w:t>
      </w:r>
      <w:r w:rsidR="009E2E85" w:rsidRPr="00DE7940">
        <w:rPr>
          <w:lang w:val="fr-CA"/>
        </w:rPr>
        <w:t>.</w:t>
      </w:r>
      <w:r w:rsidR="00524CE1" w:rsidRPr="00DE7940">
        <w:rPr>
          <w:lang w:val="fr-CA"/>
        </w:rPr>
        <w:t xml:space="preserve"> </w:t>
      </w:r>
      <w:r w:rsidR="009E2E85" w:rsidRPr="00DE7940">
        <w:rPr>
          <w:lang w:val="fr-CA"/>
        </w:rPr>
        <w:t>Il a également exécuté un projet financé par le FEM pour l</w:t>
      </w:r>
      <w:r w:rsidR="000D794D" w:rsidRPr="00DE7940">
        <w:rPr>
          <w:lang w:val="fr-CA"/>
        </w:rPr>
        <w:t>’</w:t>
      </w:r>
      <w:r w:rsidR="009E2E85" w:rsidRPr="00DE7940">
        <w:rPr>
          <w:lang w:val="fr-CA"/>
        </w:rPr>
        <w:t xml:space="preserve">élimination progressive des peintures </w:t>
      </w:r>
      <w:r w:rsidR="006277A3" w:rsidRPr="00DE7940">
        <w:rPr>
          <w:lang w:val="fr-CA"/>
        </w:rPr>
        <w:t xml:space="preserve">au plomb </w:t>
      </w:r>
      <w:r w:rsidR="009E2E85" w:rsidRPr="00DE7940">
        <w:rPr>
          <w:lang w:val="fr-CA"/>
        </w:rPr>
        <w:t>en Afrique.</w:t>
      </w:r>
      <w:r w:rsidR="00524CE1" w:rsidRPr="00DE7940">
        <w:rPr>
          <w:lang w:val="fr-CA"/>
        </w:rPr>
        <w:t xml:space="preserve"> </w:t>
      </w:r>
      <w:r w:rsidR="009E2E85" w:rsidRPr="00DE7940">
        <w:rPr>
          <w:lang w:val="fr-CA"/>
        </w:rPr>
        <w:t>La panoplie d</w:t>
      </w:r>
      <w:r w:rsidR="000D794D" w:rsidRPr="00DE7940">
        <w:rPr>
          <w:lang w:val="fr-CA"/>
        </w:rPr>
        <w:t>’</w:t>
      </w:r>
      <w:r w:rsidR="009E2E85" w:rsidRPr="00DE7940">
        <w:rPr>
          <w:lang w:val="fr-CA"/>
        </w:rPr>
        <w:t>outils continuera à être mise à jour afin de fournir aux gouvernements et aux parties prenantes un appui technique leur permettant de réaliser l</w:t>
      </w:r>
      <w:r w:rsidR="000D794D" w:rsidRPr="00DE7940">
        <w:rPr>
          <w:lang w:val="fr-CA"/>
        </w:rPr>
        <w:t>’</w:t>
      </w:r>
      <w:r w:rsidR="009E2E85" w:rsidRPr="00DE7940">
        <w:rPr>
          <w:lang w:val="fr-CA"/>
        </w:rPr>
        <w:t>objectif de l</w:t>
      </w:r>
      <w:r w:rsidR="000D794D" w:rsidRPr="00DE7940">
        <w:rPr>
          <w:lang w:val="fr-CA"/>
        </w:rPr>
        <w:t>’</w:t>
      </w:r>
      <w:r w:rsidR="009E2E85" w:rsidRPr="00DE7940">
        <w:rPr>
          <w:lang w:val="fr-CA"/>
        </w:rPr>
        <w:t>Alliance de faire en sorte que des r</w:t>
      </w:r>
      <w:r w:rsidR="006277A3" w:rsidRPr="00DE7940">
        <w:rPr>
          <w:lang w:val="fr-CA"/>
        </w:rPr>
        <w:t>é</w:t>
      </w:r>
      <w:r w:rsidR="009E2E85" w:rsidRPr="00DE7940">
        <w:rPr>
          <w:lang w:val="fr-CA"/>
        </w:rPr>
        <w:t>glement</w:t>
      </w:r>
      <w:r w:rsidR="006277A3" w:rsidRPr="00DE7940">
        <w:rPr>
          <w:lang w:val="fr-CA"/>
        </w:rPr>
        <w:t>ation</w:t>
      </w:r>
      <w:r w:rsidR="009E2E85" w:rsidRPr="00DE7940">
        <w:rPr>
          <w:lang w:val="fr-CA"/>
        </w:rPr>
        <w:t>s concernant les peintures au plomb soient en place dans tous les pays d</w:t>
      </w:r>
      <w:r w:rsidR="000D794D" w:rsidRPr="00DE7940">
        <w:rPr>
          <w:lang w:val="fr-CA"/>
        </w:rPr>
        <w:t>’</w:t>
      </w:r>
      <w:r w:rsidR="009E2E85" w:rsidRPr="00DE7940">
        <w:rPr>
          <w:lang w:val="fr-CA"/>
        </w:rPr>
        <w:t>ici à 2020.</w:t>
      </w:r>
    </w:p>
    <w:p w:rsidR="00524CE1" w:rsidRPr="00DE7940" w:rsidRDefault="00A54B60" w:rsidP="00EB7BC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Plus de 80 % de la demande mondiale de plomb est imputable aux </w:t>
      </w:r>
      <w:r w:rsidR="009E2E85" w:rsidRPr="00DE7940">
        <w:rPr>
          <w:lang w:val="fr-CA"/>
        </w:rPr>
        <w:t>batteries</w:t>
      </w:r>
      <w:r w:rsidRPr="00DE7940">
        <w:rPr>
          <w:lang w:val="fr-CA"/>
        </w:rPr>
        <w:t>,</w:t>
      </w:r>
      <w:r w:rsidR="009E2E85" w:rsidRPr="00DE7940">
        <w:rPr>
          <w:lang w:val="fr-CA"/>
        </w:rPr>
        <w:t xml:space="preserve"> </w:t>
      </w:r>
      <w:r w:rsidRPr="00DE7940">
        <w:rPr>
          <w:lang w:val="fr-CA"/>
        </w:rPr>
        <w:t>dont la gestion et le recyclage non rationnel</w:t>
      </w:r>
      <w:r w:rsidR="00EB7BC1" w:rsidRPr="00DE7940">
        <w:rPr>
          <w:lang w:val="fr-CA"/>
        </w:rPr>
        <w:t>s</w:t>
      </w:r>
      <w:r w:rsidRPr="00DE7940">
        <w:rPr>
          <w:lang w:val="fr-CA"/>
        </w:rPr>
        <w:t xml:space="preserve"> ont</w:t>
      </w:r>
      <w:r w:rsidR="00EB7BC1" w:rsidRPr="00DE7940">
        <w:rPr>
          <w:lang w:val="fr-CA"/>
        </w:rPr>
        <w:t xml:space="preserve"> été maintes fois signalés</w:t>
      </w:r>
      <w:r w:rsidRPr="00DE7940">
        <w:rPr>
          <w:lang w:val="fr-CA"/>
        </w:rPr>
        <w:t xml:space="preserve"> </w:t>
      </w:r>
      <w:r w:rsidR="00EB7BC1" w:rsidRPr="00DE7940">
        <w:rPr>
          <w:lang w:val="fr-CA"/>
        </w:rPr>
        <w:t>comme étant des facteurs de risques pour l</w:t>
      </w:r>
      <w:r w:rsidR="000D794D" w:rsidRPr="00DE7940">
        <w:rPr>
          <w:lang w:val="fr-CA"/>
        </w:rPr>
        <w:t>’</w:t>
      </w:r>
      <w:r w:rsidR="00EB7BC1" w:rsidRPr="00DE7940">
        <w:rPr>
          <w:lang w:val="fr-CA"/>
        </w:rPr>
        <w:t>environnement et la santé.</w:t>
      </w:r>
      <w:r w:rsidR="00524CE1" w:rsidRPr="00DE7940">
        <w:rPr>
          <w:lang w:val="fr-CA"/>
        </w:rPr>
        <w:t xml:space="preserve"> </w:t>
      </w:r>
      <w:r w:rsidR="00EB7BC1" w:rsidRPr="00DE7940">
        <w:rPr>
          <w:lang w:val="fr-CA"/>
        </w:rPr>
        <w:t>Face à ce problème, le PNUE a tenu deux ateliers sur la gestion rationnelle des batteries au plomb usagées, l</w:t>
      </w:r>
      <w:r w:rsidR="000D794D" w:rsidRPr="00DE7940">
        <w:rPr>
          <w:lang w:val="fr-CA"/>
        </w:rPr>
        <w:t>’</w:t>
      </w:r>
      <w:r w:rsidR="00EB7BC1" w:rsidRPr="00DE7940">
        <w:rPr>
          <w:lang w:val="fr-CA"/>
        </w:rPr>
        <w:t>un à Osaka (Japon) en novembre 2015 et l</w:t>
      </w:r>
      <w:r w:rsidR="000D794D" w:rsidRPr="00DE7940">
        <w:rPr>
          <w:lang w:val="fr-CA"/>
        </w:rPr>
        <w:t>’</w:t>
      </w:r>
      <w:r w:rsidR="00EB7BC1" w:rsidRPr="00DE7940">
        <w:rPr>
          <w:lang w:val="fr-CA"/>
        </w:rPr>
        <w:t>autre au Guatemala en février 2016. Dans le cadre du suivi de ces ateliers, il élabore actuellement un rapport sur le commerce et le recyclage de</w:t>
      </w:r>
      <w:r w:rsidR="00B00EF3" w:rsidRPr="00DE7940">
        <w:rPr>
          <w:lang w:val="fr-CA"/>
        </w:rPr>
        <w:t>s</w:t>
      </w:r>
      <w:r w:rsidR="00EB7BC1" w:rsidRPr="00DE7940">
        <w:rPr>
          <w:lang w:val="fr-CA"/>
        </w:rPr>
        <w:t xml:space="preserve"> batteries </w:t>
      </w:r>
      <w:r w:rsidR="00B00EF3" w:rsidRPr="00DE7940">
        <w:rPr>
          <w:lang w:val="fr-CA"/>
        </w:rPr>
        <w:t xml:space="preserve">au plomb </w:t>
      </w:r>
      <w:r w:rsidR="00EB7BC1" w:rsidRPr="00DE7940">
        <w:rPr>
          <w:lang w:val="fr-CA"/>
        </w:rPr>
        <w:t>et leurs répercussions écologiques et sanitaires.</w:t>
      </w:r>
      <w:r w:rsidR="00524CE1" w:rsidRPr="00DE7940">
        <w:rPr>
          <w:lang w:val="fr-CA"/>
        </w:rPr>
        <w:t xml:space="preserve"> </w:t>
      </w:r>
    </w:p>
    <w:p w:rsidR="00524CE1" w:rsidRPr="00DE7940" w:rsidRDefault="00093014" w:rsidP="00093014">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Comme demandé dans la partie V</w:t>
      </w:r>
      <w:r w:rsidR="000D794D" w:rsidRPr="00DE7940">
        <w:rPr>
          <w:lang w:val="fr-CA"/>
        </w:rPr>
        <w:t>I</w:t>
      </w:r>
      <w:r w:rsidRPr="00DE7940">
        <w:rPr>
          <w:lang w:val="fr-CA"/>
        </w:rPr>
        <w:t xml:space="preserve"> de la résolution 1/5, d</w:t>
      </w:r>
      <w:r w:rsidR="00EB7BC1" w:rsidRPr="00DE7940">
        <w:rPr>
          <w:lang w:val="fr-CA"/>
        </w:rPr>
        <w:t xml:space="preserve">es informations sur les techniques de réduction des émissions et les solutions de remplacement du plomb et du cadmium </w:t>
      </w:r>
      <w:r w:rsidRPr="00DE7940">
        <w:rPr>
          <w:lang w:val="fr-CA"/>
        </w:rPr>
        <w:t>sont fournies dan</w:t>
      </w:r>
      <w:r w:rsidR="000D794D" w:rsidRPr="00DE7940">
        <w:rPr>
          <w:lang w:val="fr-CA"/>
        </w:rPr>
        <w:t>s le document UNEA/EA.2/INF/19</w:t>
      </w:r>
      <w:r w:rsidRPr="00DE7940">
        <w:rPr>
          <w:lang w:val="fr-CA"/>
        </w:rPr>
        <w:t>.</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093014" w:rsidRPr="00DE7940">
        <w:rPr>
          <w:lang w:val="fr-CA"/>
        </w:rPr>
        <w:t>Déchets</w:t>
      </w:r>
    </w:p>
    <w:p w:rsidR="00524CE1" w:rsidRPr="00DE7940" w:rsidRDefault="00093014" w:rsidP="0057282A">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À sa première session, l</w:t>
      </w:r>
      <w:r w:rsidR="000D794D" w:rsidRPr="00DE7940">
        <w:rPr>
          <w:lang w:val="fr-CA"/>
        </w:rPr>
        <w:t>’</w:t>
      </w:r>
      <w:r w:rsidRPr="00DE7940">
        <w:rPr>
          <w:lang w:val="fr-CA"/>
        </w:rPr>
        <w:t>Assemblée des Nations Unies pour l</w:t>
      </w:r>
      <w:r w:rsidR="000D794D" w:rsidRPr="00DE7940">
        <w:rPr>
          <w:lang w:val="fr-CA"/>
        </w:rPr>
        <w:t>’</w:t>
      </w:r>
      <w:r w:rsidRPr="00DE7940">
        <w:rPr>
          <w:lang w:val="fr-CA"/>
        </w:rPr>
        <w:t>environnement a prié le Directeur exécutif d</w:t>
      </w:r>
      <w:r w:rsidR="000D794D" w:rsidRPr="00DE7940">
        <w:rPr>
          <w:lang w:val="fr-CA"/>
        </w:rPr>
        <w:t>’</w:t>
      </w:r>
      <w:r w:rsidRPr="00DE7940">
        <w:rPr>
          <w:lang w:val="fr-CA"/>
        </w:rPr>
        <w:t>examiner les liens entre les politiques relatives aux produits chimiques et aux déchets dans l</w:t>
      </w:r>
      <w:r w:rsidR="000D794D" w:rsidRPr="00DE7940">
        <w:rPr>
          <w:lang w:val="fr-CA"/>
        </w:rPr>
        <w:t>’</w:t>
      </w:r>
      <w:r w:rsidRPr="00DE7940">
        <w:rPr>
          <w:lang w:val="fr-CA"/>
        </w:rPr>
        <w:t>aperçu global sur la prévention, la minimisation et la gestion des déchets.</w:t>
      </w:r>
    </w:p>
    <w:p w:rsidR="00524CE1" w:rsidRPr="00DE7940" w:rsidRDefault="0057282A" w:rsidP="0028642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Le rapport sur les perspectives mondiales de la gestion des déchets intitulé </w:t>
      </w:r>
      <w:r w:rsidRPr="00DE7940">
        <w:rPr>
          <w:i/>
          <w:lang w:val="fr-CA"/>
        </w:rPr>
        <w:t xml:space="preserve">Global </w:t>
      </w:r>
      <w:proofErr w:type="spellStart"/>
      <w:r w:rsidRPr="00DE7940">
        <w:rPr>
          <w:i/>
          <w:lang w:val="fr-CA"/>
        </w:rPr>
        <w:t>Waste</w:t>
      </w:r>
      <w:proofErr w:type="spellEnd"/>
      <w:r w:rsidRPr="00DE7940">
        <w:rPr>
          <w:i/>
          <w:lang w:val="fr-CA"/>
        </w:rPr>
        <w:t xml:space="preserve"> Management Outlook</w:t>
      </w:r>
      <w:r w:rsidR="004D5297" w:rsidRPr="00DE7940">
        <w:rPr>
          <w:lang w:val="fr-CA"/>
        </w:rPr>
        <w:t xml:space="preserve"> a été présenté au public le 7</w:t>
      </w:r>
      <w:r w:rsidRPr="00DE7940">
        <w:rPr>
          <w:lang w:val="fr-CA"/>
        </w:rPr>
        <w:t> septembre 2015, lors du Congrès mondial de l</w:t>
      </w:r>
      <w:r w:rsidR="000D794D" w:rsidRPr="00DE7940">
        <w:rPr>
          <w:lang w:val="fr-CA"/>
        </w:rPr>
        <w:t>’</w:t>
      </w:r>
      <w:r w:rsidR="00820D10" w:rsidRPr="00DE7940">
        <w:rPr>
          <w:lang w:val="fr-CA"/>
        </w:rPr>
        <w:t>Association internationale pour la gestion des résidus solides à Anvers (Belgique), par le Centre international d</w:t>
      </w:r>
      <w:r w:rsidR="000D794D" w:rsidRPr="00DE7940">
        <w:rPr>
          <w:lang w:val="fr-CA"/>
        </w:rPr>
        <w:t>’</w:t>
      </w:r>
      <w:r w:rsidR="00820D10" w:rsidRPr="00DE7940">
        <w:rPr>
          <w:lang w:val="fr-CA"/>
        </w:rPr>
        <w:t>écotechnologie (CIET), en collaboration avec l</w:t>
      </w:r>
      <w:r w:rsidR="000D794D" w:rsidRPr="00DE7940">
        <w:rPr>
          <w:lang w:val="fr-CA"/>
        </w:rPr>
        <w:t>’</w:t>
      </w:r>
      <w:r w:rsidR="00820D10" w:rsidRPr="00DE7940">
        <w:rPr>
          <w:lang w:val="fr-CA"/>
        </w:rPr>
        <w:t xml:space="preserve">Association, </w:t>
      </w:r>
      <w:r w:rsidR="006277A3" w:rsidRPr="00DE7940">
        <w:rPr>
          <w:lang w:val="fr-CA"/>
        </w:rPr>
        <w:t>comme suite à</w:t>
      </w:r>
      <w:r w:rsidR="000D794D" w:rsidRPr="00DE7940">
        <w:rPr>
          <w:lang w:val="fr-CA"/>
        </w:rPr>
        <w:t xml:space="preserve"> la décision </w:t>
      </w:r>
      <w:r w:rsidR="00820D10" w:rsidRPr="00DE7940">
        <w:rPr>
          <w:lang w:val="fr-CA"/>
        </w:rPr>
        <w:t>27/12 sur la gestion des produits chimiques et des déchets adoptée en février 2013 par le Conseil d</w:t>
      </w:r>
      <w:r w:rsidR="000D794D" w:rsidRPr="00DE7940">
        <w:rPr>
          <w:lang w:val="fr-CA"/>
        </w:rPr>
        <w:t>’</w:t>
      </w:r>
      <w:r w:rsidR="00820D10" w:rsidRPr="00DE7940">
        <w:rPr>
          <w:lang w:val="fr-CA"/>
        </w:rPr>
        <w:t>administration du PNUE</w:t>
      </w:r>
      <w:r w:rsidR="006277A3" w:rsidRPr="00DE7940">
        <w:rPr>
          <w:vertAlign w:val="superscript"/>
          <w:lang w:val="fr-CA"/>
        </w:rPr>
        <w:footnoteReference w:id="3"/>
      </w:r>
      <w:r w:rsidR="00820D10" w:rsidRPr="00DE7940">
        <w:rPr>
          <w:lang w:val="fr-CA"/>
        </w:rPr>
        <w:t>.</w:t>
      </w:r>
      <w:r w:rsidR="00524CE1" w:rsidRPr="00DE7940">
        <w:rPr>
          <w:lang w:val="fr-CA"/>
        </w:rPr>
        <w:t xml:space="preserve"> </w:t>
      </w:r>
      <w:r w:rsidR="002419E9">
        <w:rPr>
          <w:lang w:val="fr-CA"/>
        </w:rPr>
        <w:t>L’ouvrage</w:t>
      </w:r>
      <w:r w:rsidR="00F37DEB">
        <w:rPr>
          <w:lang w:val="fr-CA"/>
        </w:rPr>
        <w:t xml:space="preserve"> </w:t>
      </w:r>
      <w:r w:rsidR="00820D10" w:rsidRPr="00DE7940">
        <w:rPr>
          <w:lang w:val="fr-CA"/>
        </w:rPr>
        <w:t xml:space="preserve">offre un </w:t>
      </w:r>
      <w:r w:rsidR="00286421" w:rsidRPr="00DE7940">
        <w:rPr>
          <w:lang w:val="fr-CA"/>
        </w:rPr>
        <w:t>bilan</w:t>
      </w:r>
      <w:r w:rsidR="00820D10" w:rsidRPr="00DE7940">
        <w:rPr>
          <w:lang w:val="fr-CA"/>
        </w:rPr>
        <w:t>, une analyse et des recommandations faisant autorité sur les actions, instruments politiques et modèles de financement mis en place pour la gestion des déchets, ainsi que la première</w:t>
      </w:r>
      <w:r w:rsidR="00286421" w:rsidRPr="00DE7940">
        <w:rPr>
          <w:lang w:val="fr-CA"/>
        </w:rPr>
        <w:t xml:space="preserve"> évaluation complète de la situation au plan de la gestion des déchets dans le monde au XXI</w:t>
      </w:r>
      <w:r w:rsidR="00286421" w:rsidRPr="00DE7940">
        <w:rPr>
          <w:vertAlign w:val="superscript"/>
          <w:lang w:val="fr-CA"/>
        </w:rPr>
        <w:t>e</w:t>
      </w:r>
      <w:r w:rsidR="00286421" w:rsidRPr="00DE7940">
        <w:rPr>
          <w:lang w:val="fr-CA"/>
        </w:rPr>
        <w:t> siècle</w:t>
      </w:r>
      <w:r w:rsidR="00617710">
        <w:rPr>
          <w:lang w:val="fr-CA"/>
        </w:rPr>
        <w:t>.</w:t>
      </w:r>
      <w:r w:rsidR="006277A3" w:rsidRPr="00DE7940">
        <w:rPr>
          <w:lang w:val="fr-CA"/>
        </w:rPr>
        <w:t xml:space="preserve"> </w:t>
      </w:r>
      <w:r w:rsidR="002419E9">
        <w:rPr>
          <w:lang w:val="fr-CA"/>
        </w:rPr>
        <w:t>Il expose l</w:t>
      </w:r>
      <w:r w:rsidR="006277A3" w:rsidRPr="00DE7940">
        <w:rPr>
          <w:lang w:val="fr-CA"/>
        </w:rPr>
        <w:t>es</w:t>
      </w:r>
      <w:r w:rsidR="00286421" w:rsidRPr="00DE7940">
        <w:rPr>
          <w:lang w:val="fr-CA"/>
        </w:rPr>
        <w:t xml:space="preserve"> objectifs mondiaux en matière </w:t>
      </w:r>
      <w:r w:rsidR="002419E9">
        <w:rPr>
          <w:lang w:val="fr-CA"/>
        </w:rPr>
        <w:t xml:space="preserve">de gestion des déchets </w:t>
      </w:r>
      <w:r w:rsidR="00286421" w:rsidRPr="00DE7940">
        <w:rPr>
          <w:lang w:val="fr-CA"/>
        </w:rPr>
        <w:t xml:space="preserve">énoncés dans le Programme de développement durable </w:t>
      </w:r>
      <w:r w:rsidR="00261651" w:rsidRPr="00DE7940">
        <w:rPr>
          <w:lang w:val="fr-CA"/>
        </w:rPr>
        <w:t>à l</w:t>
      </w:r>
      <w:r w:rsidR="000D794D" w:rsidRPr="00DE7940">
        <w:rPr>
          <w:lang w:val="fr-CA"/>
        </w:rPr>
        <w:t>’</w:t>
      </w:r>
      <w:r w:rsidR="00261651" w:rsidRPr="00DE7940">
        <w:rPr>
          <w:lang w:val="fr-CA"/>
        </w:rPr>
        <w:t xml:space="preserve">horizon </w:t>
      </w:r>
      <w:r w:rsidR="00286421" w:rsidRPr="00DE7940">
        <w:rPr>
          <w:lang w:val="fr-CA"/>
        </w:rPr>
        <w:t>2030, et se conclut par un appel général à l</w:t>
      </w:r>
      <w:r w:rsidR="000D794D" w:rsidRPr="00DE7940">
        <w:rPr>
          <w:lang w:val="fr-CA"/>
        </w:rPr>
        <w:t>’</w:t>
      </w:r>
      <w:r w:rsidR="00286421" w:rsidRPr="00DE7940">
        <w:rPr>
          <w:lang w:val="fr-CA"/>
        </w:rPr>
        <w:t>action.</w:t>
      </w:r>
    </w:p>
    <w:p w:rsidR="00524CE1" w:rsidRPr="00DE7940" w:rsidRDefault="00286421" w:rsidP="00716FAD">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Selon </w:t>
      </w:r>
      <w:r w:rsidR="00C141B7" w:rsidRPr="00DE7940">
        <w:rPr>
          <w:lang w:val="fr-CA"/>
        </w:rPr>
        <w:t>c</w:t>
      </w:r>
      <w:r w:rsidRPr="00DE7940">
        <w:rPr>
          <w:lang w:val="fr-CA"/>
        </w:rPr>
        <w:t xml:space="preserve">e rapport, </w:t>
      </w:r>
      <w:r w:rsidR="00C141B7" w:rsidRPr="00DE7940">
        <w:rPr>
          <w:lang w:val="fr-CA"/>
        </w:rPr>
        <w:t>une intégration de la gestion des substances chimiques dangereuses dans la gestion des déchets en général, et des déchets dangereux en particulier, s</w:t>
      </w:r>
      <w:r w:rsidR="000D794D" w:rsidRPr="00DE7940">
        <w:rPr>
          <w:lang w:val="fr-CA"/>
        </w:rPr>
        <w:t>’</w:t>
      </w:r>
      <w:r w:rsidR="00C141B7" w:rsidRPr="00DE7940">
        <w:rPr>
          <w:lang w:val="fr-CA"/>
        </w:rPr>
        <w:t>impose de toute évidence.</w:t>
      </w:r>
      <w:r w:rsidR="00524CE1" w:rsidRPr="00DE7940">
        <w:rPr>
          <w:lang w:val="fr-CA"/>
        </w:rPr>
        <w:t xml:space="preserve"> </w:t>
      </w:r>
      <w:r w:rsidR="00C141B7" w:rsidRPr="00DE7940">
        <w:rPr>
          <w:lang w:val="fr-CA"/>
        </w:rPr>
        <w:t>De nombreux produits d</w:t>
      </w:r>
      <w:r w:rsidR="000D794D" w:rsidRPr="00DE7940">
        <w:rPr>
          <w:lang w:val="fr-CA"/>
        </w:rPr>
        <w:t>’</w:t>
      </w:r>
      <w:r w:rsidR="00C141B7" w:rsidRPr="00DE7940">
        <w:rPr>
          <w:lang w:val="fr-CA"/>
        </w:rPr>
        <w:t xml:space="preserve">usage courant, tels que les batteries et piles, </w:t>
      </w:r>
      <w:r w:rsidR="00716FAD" w:rsidRPr="00DE7940">
        <w:rPr>
          <w:lang w:val="fr-CA"/>
        </w:rPr>
        <w:t>nettoyeurs, huiles</w:t>
      </w:r>
      <w:r w:rsidR="006277A3" w:rsidRPr="00DE7940">
        <w:rPr>
          <w:lang w:val="fr-CA"/>
        </w:rPr>
        <w:t>,</w:t>
      </w:r>
      <w:r w:rsidR="00716FAD" w:rsidRPr="00DE7940">
        <w:rPr>
          <w:lang w:val="fr-CA"/>
        </w:rPr>
        <w:t xml:space="preserve"> peintures</w:t>
      </w:r>
      <w:r w:rsidR="006277A3" w:rsidRPr="00DE7940">
        <w:rPr>
          <w:lang w:val="fr-CA"/>
        </w:rPr>
        <w:t>,</w:t>
      </w:r>
      <w:r w:rsidR="00716FAD" w:rsidRPr="00DE7940">
        <w:rPr>
          <w:lang w:val="fr-CA"/>
        </w:rPr>
        <w:t xml:space="preserve"> et appareils électriques et électroniques contiennent des substances chimiques dangereuses; dernièrement, les actions ont surtout porté sur la prévention </w:t>
      </w:r>
      <w:r w:rsidR="00A510A2" w:rsidRPr="00DE7940">
        <w:rPr>
          <w:lang w:val="fr-CA"/>
        </w:rPr>
        <w:t>au moyen</w:t>
      </w:r>
      <w:r w:rsidR="00716FAD" w:rsidRPr="00DE7940">
        <w:rPr>
          <w:lang w:val="fr-CA"/>
        </w:rPr>
        <w:t xml:space="preserve"> de mesures telles que l</w:t>
      </w:r>
      <w:r w:rsidR="00A510A2" w:rsidRPr="00DE7940">
        <w:rPr>
          <w:lang w:val="fr-CA"/>
        </w:rPr>
        <w:t>e remplacement des matériaux dangereux par</w:t>
      </w:r>
      <w:r w:rsidR="00716FAD" w:rsidRPr="00DE7940">
        <w:rPr>
          <w:lang w:val="fr-CA"/>
        </w:rPr>
        <w:t xml:space="preserve"> de</w:t>
      </w:r>
      <w:r w:rsidR="00A510A2" w:rsidRPr="00DE7940">
        <w:rPr>
          <w:lang w:val="fr-CA"/>
        </w:rPr>
        <w:t>s</w:t>
      </w:r>
      <w:r w:rsidR="00716FAD" w:rsidRPr="00DE7940">
        <w:rPr>
          <w:lang w:val="fr-CA"/>
        </w:rPr>
        <w:t xml:space="preserve"> subst</w:t>
      </w:r>
      <w:r w:rsidR="00A510A2" w:rsidRPr="00DE7940">
        <w:rPr>
          <w:lang w:val="fr-CA"/>
        </w:rPr>
        <w:t>itut</w:t>
      </w:r>
      <w:r w:rsidR="00716FAD" w:rsidRPr="00DE7940">
        <w:rPr>
          <w:lang w:val="fr-CA"/>
        </w:rPr>
        <w:t xml:space="preserve">s </w:t>
      </w:r>
      <w:r w:rsidR="00A510A2" w:rsidRPr="00DE7940">
        <w:rPr>
          <w:lang w:val="fr-CA"/>
        </w:rPr>
        <w:t>qui ne le sont pas</w:t>
      </w:r>
      <w:r w:rsidR="00716FAD" w:rsidRPr="00DE7940">
        <w:rPr>
          <w:lang w:val="fr-CA"/>
        </w:rPr>
        <w:t>.</w:t>
      </w:r>
      <w:r w:rsidR="00524CE1" w:rsidRPr="00DE7940">
        <w:rPr>
          <w:lang w:val="fr-CA"/>
        </w:rPr>
        <w:t xml:space="preserve"> </w:t>
      </w:r>
      <w:r w:rsidR="00716FAD" w:rsidRPr="00DE7940">
        <w:rPr>
          <w:lang w:val="fr-CA"/>
        </w:rPr>
        <w:t>Les trois éléments clés pour la résolution de</w:t>
      </w:r>
      <w:r w:rsidR="00A510A2" w:rsidRPr="00DE7940">
        <w:rPr>
          <w:lang w:val="fr-CA"/>
        </w:rPr>
        <w:t>s</w:t>
      </w:r>
      <w:r w:rsidR="00716FAD" w:rsidRPr="00DE7940">
        <w:rPr>
          <w:lang w:val="fr-CA"/>
        </w:rPr>
        <w:t xml:space="preserve"> problème</w:t>
      </w:r>
      <w:r w:rsidR="00A510A2" w:rsidRPr="00DE7940">
        <w:rPr>
          <w:lang w:val="fr-CA"/>
        </w:rPr>
        <w:t>s considérés</w:t>
      </w:r>
      <w:r w:rsidR="00716FAD" w:rsidRPr="00DE7940">
        <w:rPr>
          <w:lang w:val="fr-CA"/>
        </w:rPr>
        <w:t xml:space="preserve"> sont la sensibilisation des pouvoirs publics, de l</w:t>
      </w:r>
      <w:r w:rsidR="000D794D" w:rsidRPr="00DE7940">
        <w:rPr>
          <w:lang w:val="fr-CA"/>
        </w:rPr>
        <w:t>’</w:t>
      </w:r>
      <w:r w:rsidR="00716FAD" w:rsidRPr="00DE7940">
        <w:rPr>
          <w:lang w:val="fr-CA"/>
        </w:rPr>
        <w:t>industrie et du public, le renforcement des capacités aux niveaux institutionnel et humain, et la mise en place des installations écologiquement rationnelles nécessaires.</w:t>
      </w:r>
    </w:p>
    <w:p w:rsidR="00524CE1" w:rsidRPr="00DE7940" w:rsidRDefault="00716FAD" w:rsidP="008F12D6">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lastRenderedPageBreak/>
        <w:t>Les travaux sur les évaluations des perspectives régionales en matière de gestion des déchets ont déjà commencé</w:t>
      </w:r>
      <w:r w:rsidR="00A510A2" w:rsidRPr="00DE7940">
        <w:rPr>
          <w:lang w:val="fr-CA"/>
        </w:rPr>
        <w:t>,</w:t>
      </w:r>
      <w:r w:rsidRPr="00DE7940">
        <w:rPr>
          <w:lang w:val="fr-CA"/>
        </w:rPr>
        <w:t xml:space="preserve"> </w:t>
      </w:r>
      <w:r w:rsidR="00A510A2" w:rsidRPr="00DE7940">
        <w:rPr>
          <w:lang w:val="fr-CA"/>
        </w:rPr>
        <w:t>le but étant</w:t>
      </w:r>
      <w:r w:rsidRPr="00DE7940">
        <w:rPr>
          <w:lang w:val="fr-CA"/>
        </w:rPr>
        <w:t xml:space="preserve"> de mieux comprendre la situation et les besoins de chaque région et d</w:t>
      </w:r>
      <w:r w:rsidR="000D794D" w:rsidRPr="00DE7940">
        <w:rPr>
          <w:lang w:val="fr-CA"/>
        </w:rPr>
        <w:t>’</w:t>
      </w:r>
      <w:r w:rsidRPr="00DE7940">
        <w:rPr>
          <w:lang w:val="fr-CA"/>
        </w:rPr>
        <w:t>élaborer des recommandations et des mesures adaptées à chaque cas.</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8F12D6" w:rsidRPr="00DE7940">
        <w:rPr>
          <w:lang w:val="fr-CA"/>
        </w:rPr>
        <w:t>VIII.</w:t>
      </w:r>
      <w:r w:rsidRPr="00DE7940">
        <w:rPr>
          <w:lang w:val="fr-CA"/>
        </w:rPr>
        <w:tab/>
      </w:r>
      <w:r w:rsidR="008F12D6" w:rsidRPr="00DE7940">
        <w:rPr>
          <w:lang w:val="fr-CA"/>
        </w:rPr>
        <w:t>Centres régionaux : intégration et mise en œuvre coordonnée</w:t>
      </w:r>
    </w:p>
    <w:p w:rsidR="00524CE1" w:rsidRPr="00DE7940" w:rsidRDefault="008F12D6" w:rsidP="008F12D6">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bCs/>
          <w:lang w:val="fr-CA"/>
        </w:rPr>
        <w:t xml:space="preserve">Dans </w:t>
      </w:r>
      <w:r w:rsidR="000D794D" w:rsidRPr="00DE7940">
        <w:rPr>
          <w:bCs/>
          <w:lang w:val="fr-CA"/>
        </w:rPr>
        <w:t>la section VIII de la</w:t>
      </w:r>
      <w:r w:rsidRPr="00DE7940">
        <w:rPr>
          <w:bCs/>
          <w:lang w:val="fr-CA"/>
        </w:rPr>
        <w:t xml:space="preserve"> résolution 1/5, l</w:t>
      </w:r>
      <w:r w:rsidR="000D794D" w:rsidRPr="00DE7940">
        <w:rPr>
          <w:bCs/>
          <w:lang w:val="fr-CA"/>
        </w:rPr>
        <w:t>’</w:t>
      </w:r>
      <w:r w:rsidRPr="00DE7940">
        <w:rPr>
          <w:bCs/>
          <w:lang w:val="fr-CA"/>
        </w:rPr>
        <w:t>Assemblée des Nations Unies pour l</w:t>
      </w:r>
      <w:r w:rsidR="000D794D" w:rsidRPr="00DE7940">
        <w:rPr>
          <w:bCs/>
          <w:lang w:val="fr-CA"/>
        </w:rPr>
        <w:t>’</w:t>
      </w:r>
      <w:r w:rsidRPr="00DE7940">
        <w:rPr>
          <w:bCs/>
          <w:lang w:val="fr-CA"/>
        </w:rPr>
        <w:t>environnement a reconnu « l</w:t>
      </w:r>
      <w:r w:rsidR="000D794D" w:rsidRPr="00DE7940">
        <w:rPr>
          <w:bCs/>
          <w:lang w:val="fr-CA"/>
        </w:rPr>
        <w:t>’</w:t>
      </w:r>
      <w:r w:rsidRPr="00DE7940">
        <w:rPr>
          <w:bCs/>
          <w:lang w:val="fr-CA"/>
        </w:rPr>
        <w:t>appui que les centres régionaux des conventions de Bâle et de Stockholm apportent dans la mise en œuvre de ces conventions et de toutes les activités pertinentes ainsi que le rôle qu</w:t>
      </w:r>
      <w:r w:rsidR="000D794D" w:rsidRPr="00DE7940">
        <w:rPr>
          <w:bCs/>
          <w:lang w:val="fr-CA"/>
        </w:rPr>
        <w:t>’</w:t>
      </w:r>
      <w:r w:rsidRPr="00DE7940">
        <w:rPr>
          <w:bCs/>
          <w:lang w:val="fr-CA"/>
        </w:rPr>
        <w:t>ils jouent en contribuant à d</w:t>
      </w:r>
      <w:r w:rsidR="000D794D" w:rsidRPr="00DE7940">
        <w:rPr>
          <w:bCs/>
          <w:lang w:val="fr-CA"/>
        </w:rPr>
        <w:t>’</w:t>
      </w:r>
      <w:r w:rsidRPr="00DE7940">
        <w:rPr>
          <w:bCs/>
          <w:lang w:val="fr-CA"/>
        </w:rPr>
        <w:t>autres instruments concernant les produits chimiques et les déchets, et en intégrant la gestion rationnelle des produits chimiques et des déchets »</w:t>
      </w:r>
      <w:r w:rsidR="00524CE1" w:rsidRPr="00DE7940">
        <w:rPr>
          <w:bCs/>
          <w:lang w:val="fr-CA"/>
        </w:rPr>
        <w:t xml:space="preserve"> </w:t>
      </w:r>
      <w:r w:rsidRPr="00DE7940">
        <w:rPr>
          <w:bCs/>
          <w:lang w:val="fr-CA"/>
        </w:rPr>
        <w:t>et a appelé le Directeur exécutif « à étudier les possibilités de coopération efficace et efficiente avec les centres régionaux dans la mise en œuvre des projets régionaux pour une gestion rationnelle des produits chimiques et des déchets »</w:t>
      </w:r>
      <w:r w:rsidR="006558DE">
        <w:rPr>
          <w:bCs/>
          <w:lang w:val="fr-CA"/>
        </w:rPr>
        <w:t xml:space="preserve">, </w:t>
      </w:r>
      <w:r w:rsidR="006558DE" w:rsidRPr="00DE7940">
        <w:rPr>
          <w:bCs/>
          <w:lang w:val="fr-CA"/>
        </w:rPr>
        <w:t>invit</w:t>
      </w:r>
      <w:r w:rsidR="006558DE">
        <w:rPr>
          <w:bCs/>
          <w:lang w:val="fr-CA"/>
        </w:rPr>
        <w:t>ant par ailleurs</w:t>
      </w:r>
      <w:r w:rsidR="006558DE" w:rsidRPr="00DE7940">
        <w:rPr>
          <w:bCs/>
          <w:lang w:val="fr-CA"/>
        </w:rPr>
        <w:t xml:space="preserve"> les Parties aux conventions de Bâle, de Rotterdam et de Stockholm, le Fonds pour l’environnement mondial et les autres institutions, instruments et programmes financiers internationaux concernés</w:t>
      </w:r>
      <w:r w:rsidR="006558DE">
        <w:rPr>
          <w:bCs/>
          <w:lang w:val="fr-CA"/>
        </w:rPr>
        <w:t xml:space="preserve"> à faire de même</w:t>
      </w:r>
      <w:r w:rsidRPr="00DE7940">
        <w:rPr>
          <w:bCs/>
          <w:lang w:val="fr-CA"/>
        </w:rPr>
        <w:t>.</w:t>
      </w:r>
    </w:p>
    <w:p w:rsidR="00524CE1" w:rsidRPr="00DE7940" w:rsidRDefault="00F11F8A" w:rsidP="007A5B67">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Les centres régionaux des conventions de Bâle et de Stockholm ont joué un important rôle d</w:t>
      </w:r>
      <w:r w:rsidR="000D794D" w:rsidRPr="00DE7940">
        <w:rPr>
          <w:lang w:val="fr-CA"/>
        </w:rPr>
        <w:t>’</w:t>
      </w:r>
      <w:r w:rsidRPr="00DE7940">
        <w:rPr>
          <w:lang w:val="fr-CA"/>
        </w:rPr>
        <w:t>assistance et d</w:t>
      </w:r>
      <w:r w:rsidR="000D794D" w:rsidRPr="00DE7940">
        <w:rPr>
          <w:lang w:val="fr-CA"/>
        </w:rPr>
        <w:t>’</w:t>
      </w:r>
      <w:r w:rsidRPr="00DE7940">
        <w:rPr>
          <w:lang w:val="fr-CA"/>
        </w:rPr>
        <w:t>élément moteur dans l</w:t>
      </w:r>
      <w:r w:rsidR="000D794D" w:rsidRPr="00DE7940">
        <w:rPr>
          <w:lang w:val="fr-CA"/>
        </w:rPr>
        <w:t>’</w:t>
      </w:r>
      <w:r w:rsidRPr="00DE7940">
        <w:rPr>
          <w:lang w:val="fr-CA"/>
        </w:rPr>
        <w:t>organisation d</w:t>
      </w:r>
      <w:r w:rsidR="000D794D" w:rsidRPr="00DE7940">
        <w:rPr>
          <w:lang w:val="fr-CA"/>
        </w:rPr>
        <w:t>’</w:t>
      </w:r>
      <w:r w:rsidRPr="00DE7940">
        <w:rPr>
          <w:lang w:val="fr-CA"/>
        </w:rPr>
        <w:t>un certain nombre d</w:t>
      </w:r>
      <w:r w:rsidR="000D794D" w:rsidRPr="00DE7940">
        <w:rPr>
          <w:lang w:val="fr-CA"/>
        </w:rPr>
        <w:t>’</w:t>
      </w:r>
      <w:r w:rsidRPr="00DE7940">
        <w:rPr>
          <w:lang w:val="fr-CA"/>
        </w:rPr>
        <w:t xml:space="preserve">ateliers </w:t>
      </w:r>
      <w:proofErr w:type="spellStart"/>
      <w:r w:rsidRPr="00DE7940">
        <w:rPr>
          <w:lang w:val="fr-CA"/>
        </w:rPr>
        <w:t>sous-régionaux</w:t>
      </w:r>
      <w:proofErr w:type="spellEnd"/>
      <w:r w:rsidRPr="00DE7940">
        <w:rPr>
          <w:lang w:val="fr-CA"/>
        </w:rPr>
        <w:t xml:space="preserve"> et régionaux du secrétariat provisoire de la Convention de Minamata sur le mercure.</w:t>
      </w:r>
      <w:r w:rsidR="00524CE1" w:rsidRPr="00DE7940">
        <w:rPr>
          <w:lang w:val="fr-CA"/>
        </w:rPr>
        <w:t xml:space="preserve"> </w:t>
      </w:r>
      <w:r w:rsidR="00FA5D24" w:rsidRPr="00DE7940">
        <w:rPr>
          <w:lang w:val="fr-CA"/>
        </w:rPr>
        <w:t xml:space="preserve">Leur appui </w:t>
      </w:r>
      <w:r w:rsidR="006558DE">
        <w:rPr>
          <w:lang w:val="fr-CA"/>
        </w:rPr>
        <w:t xml:space="preserve">a été </w:t>
      </w:r>
      <w:r w:rsidR="00FA5D24" w:rsidRPr="00DE7940">
        <w:rPr>
          <w:lang w:val="fr-CA"/>
        </w:rPr>
        <w:t xml:space="preserve">essentiel et </w:t>
      </w:r>
      <w:r w:rsidR="006558DE">
        <w:rPr>
          <w:lang w:val="fr-CA"/>
        </w:rPr>
        <w:t>efficace</w:t>
      </w:r>
      <w:r w:rsidR="00FA5D24" w:rsidRPr="00DE7940">
        <w:rPr>
          <w:lang w:val="fr-CA"/>
        </w:rPr>
        <w:t xml:space="preserve"> et ils ont été invités à participer aux ateliers et à partager leur expérience et expertise régionales avec les autres participants.</w:t>
      </w:r>
      <w:r w:rsidR="00524CE1" w:rsidRPr="00DE7940">
        <w:rPr>
          <w:lang w:val="fr-CA"/>
        </w:rPr>
        <w:t xml:space="preserve"> </w:t>
      </w:r>
      <w:r w:rsidR="00FA5D24" w:rsidRPr="00DE7940">
        <w:rPr>
          <w:lang w:val="fr-CA"/>
        </w:rPr>
        <w:t>Un certain nombre de centres ont continué à jouer des rôles importants au niveau régional</w:t>
      </w:r>
      <w:r w:rsidR="007A5B67" w:rsidRPr="00DE7940">
        <w:rPr>
          <w:lang w:val="fr-CA"/>
        </w:rPr>
        <w:t>,</w:t>
      </w:r>
      <w:r w:rsidR="00FA5D24" w:rsidRPr="00DE7940">
        <w:rPr>
          <w:lang w:val="fr-CA"/>
        </w:rPr>
        <w:t xml:space="preserve"> </w:t>
      </w:r>
      <w:r w:rsidR="007A5B67" w:rsidRPr="00DE7940">
        <w:rPr>
          <w:lang w:val="fr-CA"/>
        </w:rPr>
        <w:t>en</w:t>
      </w:r>
      <w:r w:rsidR="00D96276" w:rsidRPr="00DE7940">
        <w:rPr>
          <w:lang w:val="fr-CA"/>
        </w:rPr>
        <w:t xml:space="preserve"> appui </w:t>
      </w:r>
      <w:r w:rsidR="007A5B67" w:rsidRPr="00DE7940">
        <w:rPr>
          <w:lang w:val="fr-CA"/>
        </w:rPr>
        <w:t>aux</w:t>
      </w:r>
      <w:r w:rsidR="00D96276" w:rsidRPr="00DE7940">
        <w:rPr>
          <w:lang w:val="fr-CA"/>
        </w:rPr>
        <w:t xml:space="preserve"> </w:t>
      </w:r>
      <w:r w:rsidR="00FA5D24" w:rsidRPr="00DE7940">
        <w:rPr>
          <w:lang w:val="fr-CA"/>
        </w:rPr>
        <w:t xml:space="preserve">efforts régionaux et nationaux </w:t>
      </w:r>
      <w:r w:rsidR="00D96276" w:rsidRPr="00DE7940">
        <w:rPr>
          <w:lang w:val="fr-CA"/>
        </w:rPr>
        <w:t>visant à promouvoir</w:t>
      </w:r>
      <w:r w:rsidR="00FA5D24" w:rsidRPr="00DE7940">
        <w:rPr>
          <w:lang w:val="fr-CA"/>
        </w:rPr>
        <w:t xml:space="preserve"> la ratification et la mise en œuvre rapide de la Convention de Minamata.</w:t>
      </w:r>
    </w:p>
    <w:p w:rsidR="00524CE1" w:rsidRPr="00DE7940" w:rsidRDefault="006558DE" w:rsidP="0021796F">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Pr>
          <w:lang w:val="fr-CA"/>
        </w:rPr>
        <w:t>De surcroît</w:t>
      </w:r>
      <w:r w:rsidR="0021796F" w:rsidRPr="00DE7940">
        <w:rPr>
          <w:lang w:val="fr-CA"/>
        </w:rPr>
        <w:t>, le PNUE a exécuté, en Jamaïque, au Suriname et à Trinité-et-Tobago, en partenariat avec le Centre régional de la Convention de Bâle pour les Caraïbes, un projet portant sur le stockage et l</w:t>
      </w:r>
      <w:r w:rsidR="000D794D" w:rsidRPr="00DE7940">
        <w:rPr>
          <w:lang w:val="fr-CA"/>
        </w:rPr>
        <w:t>’</w:t>
      </w:r>
      <w:r w:rsidR="0021796F" w:rsidRPr="00DE7940">
        <w:rPr>
          <w:lang w:val="fr-CA"/>
        </w:rPr>
        <w:t>élimination du mercure et est en train d</w:t>
      </w:r>
      <w:r w:rsidR="000D794D" w:rsidRPr="00DE7940">
        <w:rPr>
          <w:lang w:val="fr-CA"/>
        </w:rPr>
        <w:t>’</w:t>
      </w:r>
      <w:r w:rsidR="0021796F" w:rsidRPr="00DE7940">
        <w:rPr>
          <w:lang w:val="fr-CA"/>
        </w:rPr>
        <w:t>établir, en partenariat avec le Centre régional de la Convention de Bâle pour l</w:t>
      </w:r>
      <w:r w:rsidR="000D794D" w:rsidRPr="00DE7940">
        <w:rPr>
          <w:lang w:val="fr-CA"/>
        </w:rPr>
        <w:t>’</w:t>
      </w:r>
      <w:r w:rsidR="0021796F" w:rsidRPr="00DE7940">
        <w:rPr>
          <w:lang w:val="fr-CA"/>
        </w:rPr>
        <w:t>Amérique centrale et le Mexique, un rapport sur la gestion écologiquement rationnelle des batteries au plomb usagées.</w:t>
      </w:r>
    </w:p>
    <w:p w:rsidR="00524CE1" w:rsidRPr="00DE7940" w:rsidRDefault="0021796F" w:rsidP="0021796F">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PNUE a identifiés des occasions de renforcer la mise en œuvre au niveau régional et la participation des centres régionaux à des projets concernant la surveillance des polluants organiques persistants; les risques associés aux retardateurs de flamme bromés; la gestion des polychlorobiphényles dans le secteur minier; les inventaires et la surveillance du mercure; et l</w:t>
      </w:r>
      <w:r w:rsidR="000D794D" w:rsidRPr="00DE7940">
        <w:rPr>
          <w:lang w:val="fr-CA"/>
        </w:rPr>
        <w:t>’</w:t>
      </w:r>
      <w:r w:rsidRPr="00DE7940">
        <w:rPr>
          <w:lang w:val="fr-CA"/>
        </w:rPr>
        <w:t>élaboration de plans nationaux de mise en œuvre de la Convention de Stockholm.</w:t>
      </w:r>
      <w:r w:rsidR="00524CE1" w:rsidRPr="00DE7940">
        <w:rPr>
          <w:lang w:val="fr-CA"/>
        </w:rPr>
        <w:t xml:space="preserve"> </w:t>
      </w:r>
      <w:r w:rsidRPr="00DE7940">
        <w:rPr>
          <w:lang w:val="fr-CA"/>
        </w:rPr>
        <w:t>Les centres ont également joué un rôle important dans la diffusion d</w:t>
      </w:r>
      <w:r w:rsidR="000D794D" w:rsidRPr="00DE7940">
        <w:rPr>
          <w:lang w:val="fr-CA"/>
        </w:rPr>
        <w:t>’</w:t>
      </w:r>
      <w:r w:rsidRPr="00DE7940">
        <w:rPr>
          <w:lang w:val="fr-CA"/>
        </w:rPr>
        <w:t>outils et de méthodes mis au point par le PNUE.</w:t>
      </w:r>
    </w:p>
    <w:p w:rsidR="00524CE1" w:rsidRPr="00DE7940" w:rsidRDefault="0021796F" w:rsidP="0026165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À leurs réunions de mai 2015, les conférences des Parties aux conventions de </w:t>
      </w:r>
      <w:proofErr w:type="spellStart"/>
      <w:r w:rsidRPr="00DE7940">
        <w:rPr>
          <w:lang w:val="fr-CA"/>
        </w:rPr>
        <w:t>Bâleet</w:t>
      </w:r>
      <w:proofErr w:type="spellEnd"/>
      <w:r w:rsidRPr="00DE7940">
        <w:rPr>
          <w:lang w:val="fr-CA"/>
        </w:rPr>
        <w:t xml:space="preserve"> de Stockholm se sont félicitées du fait que l</w:t>
      </w:r>
      <w:r w:rsidR="000D794D" w:rsidRPr="00DE7940">
        <w:rPr>
          <w:lang w:val="fr-CA"/>
        </w:rPr>
        <w:t>’</w:t>
      </w:r>
      <w:r w:rsidRPr="00DE7940">
        <w:rPr>
          <w:lang w:val="fr-CA"/>
        </w:rPr>
        <w:t>Assemblée des Nations Unies pour l</w:t>
      </w:r>
      <w:r w:rsidR="000D794D" w:rsidRPr="00DE7940">
        <w:rPr>
          <w:lang w:val="fr-CA"/>
        </w:rPr>
        <w:t>’</w:t>
      </w:r>
      <w:r w:rsidRPr="00DE7940">
        <w:rPr>
          <w:lang w:val="fr-CA"/>
        </w:rPr>
        <w:t xml:space="preserve">environnement, dans sa résolution 1/5, a reconnu </w:t>
      </w:r>
      <w:r w:rsidR="00261651" w:rsidRPr="00DE7940">
        <w:rPr>
          <w:lang w:val="fr-CA"/>
        </w:rPr>
        <w:t>l</w:t>
      </w:r>
      <w:r w:rsidR="000D794D" w:rsidRPr="00DE7940">
        <w:rPr>
          <w:lang w:val="fr-CA"/>
        </w:rPr>
        <w:t>’</w:t>
      </w:r>
      <w:r w:rsidR="00261651" w:rsidRPr="00DE7940">
        <w:rPr>
          <w:lang w:val="fr-CA"/>
        </w:rPr>
        <w:t>appui que les centres régionaux apportent dans la mise en œuvre de ces deux conventions.</w:t>
      </w:r>
      <w:r w:rsidR="00524CE1" w:rsidRPr="00DE7940">
        <w:rPr>
          <w:lang w:val="fr-CA"/>
        </w:rPr>
        <w:t xml:space="preserve"> </w:t>
      </w:r>
      <w:r w:rsidR="00261651" w:rsidRPr="00DE7940">
        <w:rPr>
          <w:lang w:val="fr-CA"/>
        </w:rPr>
        <w:t xml:space="preserve">Elles se sont également penchées </w:t>
      </w:r>
      <w:r w:rsidR="00A510A2" w:rsidRPr="00DE7940">
        <w:rPr>
          <w:lang w:val="fr-CA"/>
        </w:rPr>
        <w:t>s</w:t>
      </w:r>
      <w:r w:rsidR="00261651" w:rsidRPr="00DE7940">
        <w:rPr>
          <w:lang w:val="fr-CA"/>
        </w:rPr>
        <w:t>ur d</w:t>
      </w:r>
      <w:r w:rsidR="000D794D" w:rsidRPr="00DE7940">
        <w:rPr>
          <w:lang w:val="fr-CA"/>
        </w:rPr>
        <w:t>’</w:t>
      </w:r>
      <w:r w:rsidR="00261651" w:rsidRPr="00DE7940">
        <w:rPr>
          <w:lang w:val="fr-CA"/>
        </w:rPr>
        <w:t>autres éléments de la résolution 1/5 se rapportant aux centres régionaux, comme en témoignent leurs décisions BC-12/10 et SC-7/17.</w:t>
      </w:r>
    </w:p>
    <w:p w:rsidR="00524CE1" w:rsidRPr="00DE7940" w:rsidRDefault="00524CE1" w:rsidP="001F664C">
      <w:pPr>
        <w:pStyle w:val="CH1"/>
        <w:numPr>
          <w:ilvl w:val="0"/>
          <w:numId w:val="44"/>
        </w:numPr>
        <w:tabs>
          <w:tab w:val="clear" w:pos="851"/>
          <w:tab w:val="clear" w:pos="1247"/>
          <w:tab w:val="clear" w:pos="1814"/>
          <w:tab w:val="clear" w:pos="2381"/>
          <w:tab w:val="clear" w:pos="2948"/>
          <w:tab w:val="clear" w:pos="3515"/>
          <w:tab w:val="clear" w:pos="4082"/>
        </w:tabs>
        <w:ind w:left="1247" w:hanging="623"/>
        <w:rPr>
          <w:lang w:val="fr-CA"/>
        </w:rPr>
      </w:pPr>
      <w:r w:rsidRPr="00DE7940">
        <w:rPr>
          <w:lang w:val="fr-CA"/>
        </w:rPr>
        <w:tab/>
      </w:r>
      <w:r w:rsidR="00261651" w:rsidRPr="00DE7940">
        <w:rPr>
          <w:lang w:val="fr-CA"/>
        </w:rPr>
        <w:t>Informations supplémentaires concernant l</w:t>
      </w:r>
      <w:r w:rsidR="000D794D" w:rsidRPr="00DE7940">
        <w:rPr>
          <w:lang w:val="fr-CA"/>
        </w:rPr>
        <w:t>’</w:t>
      </w:r>
      <w:r w:rsidR="00261651" w:rsidRPr="00DE7940">
        <w:rPr>
          <w:lang w:val="fr-CA"/>
        </w:rPr>
        <w:t>appl</w:t>
      </w:r>
      <w:r w:rsidR="003D2306" w:rsidRPr="00DE7940">
        <w:rPr>
          <w:lang w:val="fr-CA"/>
        </w:rPr>
        <w:t xml:space="preserve">ication </w:t>
      </w:r>
      <w:r w:rsidR="003D2306" w:rsidRPr="00DE7940">
        <w:rPr>
          <w:lang w:val="fr-CA"/>
        </w:rPr>
        <w:br/>
        <w:t>de la résolution 1</w:t>
      </w:r>
      <w:r w:rsidR="00261651" w:rsidRPr="00DE7940">
        <w:rPr>
          <w:lang w:val="fr-CA"/>
        </w:rPr>
        <w:t>/5</w:t>
      </w:r>
    </w:p>
    <w:p w:rsidR="00524CE1" w:rsidRPr="00DE7940" w:rsidRDefault="00261651" w:rsidP="0026165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La présente section met en relief les autres activités prévues, en plus de celles menées à ce jour, pour appuyer la poursuite de l</w:t>
      </w:r>
      <w:r w:rsidR="000D794D" w:rsidRPr="00DE7940">
        <w:rPr>
          <w:lang w:val="fr-CA"/>
        </w:rPr>
        <w:t>’</w:t>
      </w:r>
      <w:r w:rsidRPr="00DE7940">
        <w:rPr>
          <w:lang w:val="fr-CA"/>
        </w:rPr>
        <w:t>application de la résolution 1/5.</w:t>
      </w:r>
      <w:r w:rsidR="00524CE1" w:rsidRPr="00DE7940">
        <w:rPr>
          <w:lang w:val="fr-CA"/>
        </w:rPr>
        <w:t xml:space="preserve"> </w:t>
      </w:r>
    </w:p>
    <w:p w:rsidR="00524CE1" w:rsidRPr="00DE7940" w:rsidRDefault="00261651" w:rsidP="0084023B">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Programme de développement durable à l</w:t>
      </w:r>
      <w:r w:rsidR="000D794D" w:rsidRPr="00DE7940">
        <w:rPr>
          <w:lang w:val="fr-CA"/>
        </w:rPr>
        <w:t>’</w:t>
      </w:r>
      <w:r w:rsidRPr="00DE7940">
        <w:rPr>
          <w:lang w:val="fr-CA"/>
        </w:rPr>
        <w:t>horizon 2030 adopté par l</w:t>
      </w:r>
      <w:r w:rsidR="000D794D" w:rsidRPr="00DE7940">
        <w:rPr>
          <w:lang w:val="fr-CA"/>
        </w:rPr>
        <w:t>’</w:t>
      </w:r>
      <w:r w:rsidRPr="00DE7940">
        <w:rPr>
          <w:lang w:val="fr-CA"/>
        </w:rPr>
        <w:t>Assemblée générale des Nations Unies en septembre 2015 souligne le caractère transversal, intersectoriel, des questions relatives aux substances chimiques et aux déchets et offre au PNUE une occasion de collaborer avec les pays, les organisations intergouvernementales et les parties prenantes et d</w:t>
      </w:r>
      <w:r w:rsidR="000D794D" w:rsidRPr="00DE7940">
        <w:rPr>
          <w:lang w:val="fr-CA"/>
        </w:rPr>
        <w:t>’</w:t>
      </w:r>
      <w:r w:rsidRPr="00DE7940">
        <w:rPr>
          <w:lang w:val="fr-CA"/>
        </w:rPr>
        <w:t>ajouter une autre dimension aux travaux d</w:t>
      </w:r>
      <w:r w:rsidR="000D794D" w:rsidRPr="00DE7940">
        <w:rPr>
          <w:lang w:val="fr-CA"/>
        </w:rPr>
        <w:t>’</w:t>
      </w:r>
      <w:r w:rsidRPr="00DE7940">
        <w:rPr>
          <w:lang w:val="fr-CA"/>
        </w:rPr>
        <w:t>intégration de la gestion des produits chimiques et des déchets dans les politiques nationales et dans la réalisation des objectifs de développement durable.</w:t>
      </w:r>
      <w:r w:rsidR="00524CE1" w:rsidRPr="00DE7940">
        <w:rPr>
          <w:lang w:val="fr-CA"/>
        </w:rPr>
        <w:t xml:space="preserve"> </w:t>
      </w:r>
    </w:p>
    <w:p w:rsidR="00524CE1" w:rsidRPr="00DE7940" w:rsidRDefault="0084023B" w:rsidP="00CE27FE">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 xml:space="preserve">Par ailleurs, </w:t>
      </w:r>
      <w:r w:rsidR="00CE27FE" w:rsidRPr="00DE7940">
        <w:rPr>
          <w:lang w:val="fr-CA"/>
        </w:rPr>
        <w:t xml:space="preserve">bon nombre de </w:t>
      </w:r>
      <w:r w:rsidRPr="00DE7940">
        <w:rPr>
          <w:lang w:val="fr-CA"/>
        </w:rPr>
        <w:t xml:space="preserve">résolutions adoptées à la quatrième session de la Conférence internationale sur la gestion des produits chimiques </w:t>
      </w:r>
      <w:r w:rsidR="00CE27FE" w:rsidRPr="00DE7940">
        <w:rPr>
          <w:lang w:val="fr-CA"/>
        </w:rPr>
        <w:t>s</w:t>
      </w:r>
      <w:r w:rsidR="000D794D" w:rsidRPr="00DE7940">
        <w:rPr>
          <w:lang w:val="fr-CA"/>
        </w:rPr>
        <w:t>’</w:t>
      </w:r>
      <w:r w:rsidR="00CE27FE" w:rsidRPr="00DE7940">
        <w:rPr>
          <w:lang w:val="fr-CA"/>
        </w:rPr>
        <w:t>adressent au</w:t>
      </w:r>
      <w:r w:rsidRPr="00DE7940">
        <w:rPr>
          <w:lang w:val="fr-CA"/>
        </w:rPr>
        <w:t xml:space="preserve"> PNUE </w:t>
      </w:r>
      <w:r w:rsidR="00CE27FE" w:rsidRPr="00DE7940">
        <w:rPr>
          <w:lang w:val="fr-CA"/>
        </w:rPr>
        <w:t xml:space="preserve">en tant que </w:t>
      </w:r>
      <w:r w:rsidRPr="00DE7940">
        <w:rPr>
          <w:lang w:val="fr-CA"/>
        </w:rPr>
        <w:t>partie prenante de l</w:t>
      </w:r>
      <w:r w:rsidR="000D794D" w:rsidRPr="00DE7940">
        <w:rPr>
          <w:lang w:val="fr-CA"/>
        </w:rPr>
        <w:t>’</w:t>
      </w:r>
      <w:r w:rsidRPr="00DE7940">
        <w:rPr>
          <w:lang w:val="fr-CA"/>
        </w:rPr>
        <w:t>Approche stratégique</w:t>
      </w:r>
      <w:r w:rsidR="00CE27FE" w:rsidRPr="00DE7940">
        <w:rPr>
          <w:lang w:val="fr-CA"/>
        </w:rPr>
        <w:t xml:space="preserve"> et</w:t>
      </w:r>
      <w:r w:rsidRPr="00DE7940">
        <w:rPr>
          <w:lang w:val="fr-CA"/>
        </w:rPr>
        <w:t xml:space="preserve"> demand</w:t>
      </w:r>
      <w:r w:rsidR="00CE27FE" w:rsidRPr="00DE7940">
        <w:rPr>
          <w:lang w:val="fr-CA"/>
        </w:rPr>
        <w:t>e</w:t>
      </w:r>
      <w:r w:rsidRPr="00DE7940">
        <w:rPr>
          <w:lang w:val="fr-CA"/>
        </w:rPr>
        <w:t>nt s</w:t>
      </w:r>
      <w:r w:rsidR="00CE27FE" w:rsidRPr="00DE7940">
        <w:rPr>
          <w:lang w:val="fr-CA"/>
        </w:rPr>
        <w:t>on implica</w:t>
      </w:r>
      <w:r w:rsidRPr="00DE7940">
        <w:rPr>
          <w:lang w:val="fr-CA"/>
        </w:rPr>
        <w:t xml:space="preserve">tion </w:t>
      </w:r>
      <w:r w:rsidR="00CE27FE" w:rsidRPr="00DE7940">
        <w:rPr>
          <w:lang w:val="fr-CA"/>
        </w:rPr>
        <w:t>dans le traitement de</w:t>
      </w:r>
      <w:r w:rsidRPr="00DE7940">
        <w:rPr>
          <w:lang w:val="fr-CA"/>
        </w:rPr>
        <w:t xml:space="preserve"> plusieurs nouvelles questions de politique générale, </w:t>
      </w:r>
      <w:r w:rsidR="00CE27FE" w:rsidRPr="00DE7940">
        <w:rPr>
          <w:lang w:val="fr-CA"/>
        </w:rPr>
        <w:t>dont</w:t>
      </w:r>
      <w:r w:rsidRPr="00DE7940">
        <w:rPr>
          <w:lang w:val="fr-CA"/>
        </w:rPr>
        <w:t xml:space="preserve"> celles des substances chimiques incorporées dans les produits, des perturbateurs endocriniens, des peintures au plomb et des polluants pharmaceutiques persistants.</w:t>
      </w:r>
    </w:p>
    <w:p w:rsidR="00524CE1" w:rsidRPr="00DE7940" w:rsidRDefault="006558DE" w:rsidP="00DB04A6">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Pr>
          <w:lang w:val="fr-CA"/>
        </w:rPr>
        <w:t>L</w:t>
      </w:r>
      <w:r w:rsidR="00CE27FE" w:rsidRPr="00DE7940">
        <w:rPr>
          <w:lang w:val="fr-CA"/>
        </w:rPr>
        <w:t>es nouvelles données montrant que les émissions produites par les batteries sont d</w:t>
      </w:r>
      <w:r w:rsidR="000D794D" w:rsidRPr="00DE7940">
        <w:rPr>
          <w:lang w:val="fr-CA"/>
        </w:rPr>
        <w:t>’</w:t>
      </w:r>
      <w:r w:rsidR="00CE27FE" w:rsidRPr="00DE7940">
        <w:rPr>
          <w:lang w:val="fr-CA"/>
        </w:rPr>
        <w:t>importants facteurs d</w:t>
      </w:r>
      <w:r w:rsidR="000D794D" w:rsidRPr="00DE7940">
        <w:rPr>
          <w:lang w:val="fr-CA"/>
        </w:rPr>
        <w:t>’</w:t>
      </w:r>
      <w:r w:rsidR="00CE27FE" w:rsidRPr="00DE7940">
        <w:rPr>
          <w:lang w:val="fr-CA"/>
        </w:rPr>
        <w:t>exposition de la population humaine et de l</w:t>
      </w:r>
      <w:r w:rsidR="000D794D" w:rsidRPr="00DE7940">
        <w:rPr>
          <w:lang w:val="fr-CA"/>
        </w:rPr>
        <w:t>’</w:t>
      </w:r>
      <w:r w:rsidR="00CE27FE" w:rsidRPr="00DE7940">
        <w:rPr>
          <w:lang w:val="fr-CA"/>
        </w:rPr>
        <w:t>environnement à cette substance</w:t>
      </w:r>
      <w:r w:rsidR="00DB04A6" w:rsidRPr="00DE7940">
        <w:rPr>
          <w:lang w:val="fr-CA"/>
        </w:rPr>
        <w:t xml:space="preserve"> laissent conclure à des possibilités d</w:t>
      </w:r>
      <w:r w:rsidR="000D794D" w:rsidRPr="00DE7940">
        <w:rPr>
          <w:lang w:val="fr-CA"/>
        </w:rPr>
        <w:t>’</w:t>
      </w:r>
      <w:r w:rsidR="00DB04A6" w:rsidRPr="00DE7940">
        <w:rPr>
          <w:lang w:val="fr-CA"/>
        </w:rPr>
        <w:t>actions supplémentaires</w:t>
      </w:r>
      <w:r w:rsidR="00CE27FE" w:rsidRPr="00DE7940">
        <w:rPr>
          <w:lang w:val="fr-CA"/>
        </w:rPr>
        <w:t>.</w:t>
      </w:r>
    </w:p>
    <w:p w:rsidR="00524CE1" w:rsidRPr="00DE7940" w:rsidRDefault="00DB04A6" w:rsidP="00EC6FA0">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lastRenderedPageBreak/>
        <w:t xml:space="preserve">La résolution IV/4 de la Conférence internationale sur la gestion des produits chimiques </w:t>
      </w:r>
      <w:r w:rsidR="00A510A2" w:rsidRPr="00DE7940">
        <w:rPr>
          <w:lang w:val="fr-CA"/>
        </w:rPr>
        <w:t>relative à</w:t>
      </w:r>
      <w:r w:rsidRPr="00DE7940">
        <w:rPr>
          <w:lang w:val="fr-CA"/>
        </w:rPr>
        <w:t xml:space="preserve"> l</w:t>
      </w:r>
      <w:r w:rsidR="000D794D" w:rsidRPr="00DE7940">
        <w:rPr>
          <w:lang w:val="fr-CA"/>
        </w:rPr>
        <w:t>’</w:t>
      </w:r>
      <w:r w:rsidRPr="00DE7940">
        <w:rPr>
          <w:lang w:val="fr-CA"/>
        </w:rPr>
        <w:t xml:space="preserve">Approche stratégique et </w:t>
      </w:r>
      <w:r w:rsidR="00A510A2" w:rsidRPr="00DE7940">
        <w:rPr>
          <w:lang w:val="fr-CA"/>
        </w:rPr>
        <w:t xml:space="preserve">à </w:t>
      </w:r>
      <w:r w:rsidRPr="00DE7940">
        <w:rPr>
          <w:lang w:val="fr-CA"/>
        </w:rPr>
        <w:t>la gestion rationnelle des produits chimiques et des déchets au-delà de 2020 fournit au PNUE, en tant que partie prenante de l</w:t>
      </w:r>
      <w:r w:rsidR="000D794D" w:rsidRPr="00DE7940">
        <w:rPr>
          <w:lang w:val="fr-CA"/>
        </w:rPr>
        <w:t>’</w:t>
      </w:r>
      <w:r w:rsidRPr="00DE7940">
        <w:rPr>
          <w:lang w:val="fr-CA"/>
        </w:rPr>
        <w:t>Approche stratégique, une occasion d</w:t>
      </w:r>
      <w:r w:rsidR="000D794D" w:rsidRPr="00DE7940">
        <w:rPr>
          <w:lang w:val="fr-CA"/>
        </w:rPr>
        <w:t>’</w:t>
      </w:r>
      <w:r w:rsidRPr="00DE7940">
        <w:rPr>
          <w:lang w:val="fr-CA"/>
        </w:rPr>
        <w:t>encourager une réflexion prospective sur les grandes questions et les éléments possibles d</w:t>
      </w:r>
      <w:r w:rsidR="000D794D" w:rsidRPr="00DE7940">
        <w:rPr>
          <w:lang w:val="fr-CA"/>
        </w:rPr>
        <w:t>’</w:t>
      </w:r>
      <w:r w:rsidRPr="00DE7940">
        <w:rPr>
          <w:lang w:val="fr-CA"/>
        </w:rPr>
        <w:t>une future démarche à long terme pour l</w:t>
      </w:r>
      <w:r w:rsidR="000D794D" w:rsidRPr="00DE7940">
        <w:rPr>
          <w:lang w:val="fr-CA"/>
        </w:rPr>
        <w:t>’</w:t>
      </w:r>
      <w:r w:rsidRPr="00DE7940">
        <w:rPr>
          <w:lang w:val="fr-CA"/>
        </w:rPr>
        <w:t>Approche stratégique et la gestion rationnelle des produits chimiques et des déchets.</w:t>
      </w:r>
      <w:r w:rsidR="00524CE1" w:rsidRPr="00DE7940">
        <w:rPr>
          <w:lang w:val="fr-CA"/>
        </w:rPr>
        <w:t xml:space="preserve"> </w:t>
      </w:r>
      <w:r w:rsidRPr="00DE7940">
        <w:rPr>
          <w:lang w:val="fr-CA"/>
        </w:rPr>
        <w:t xml:space="preserve">De pair avec le rapport 2015 sur </w:t>
      </w:r>
      <w:r w:rsidR="00EC6FA0" w:rsidRPr="00DE7940">
        <w:rPr>
          <w:lang w:val="fr-CA"/>
        </w:rPr>
        <w:t>les perspectives mondiales en matière de gestion des déchets, l</w:t>
      </w:r>
      <w:r w:rsidR="000D794D" w:rsidRPr="00DE7940">
        <w:rPr>
          <w:lang w:val="fr-CA"/>
        </w:rPr>
        <w:t>’</w:t>
      </w:r>
      <w:r w:rsidR="00EC6FA0" w:rsidRPr="00DE7940">
        <w:rPr>
          <w:lang w:val="fr-CA"/>
        </w:rPr>
        <w:t xml:space="preserve">élaboration de la deuxième édition du rapport </w:t>
      </w:r>
      <w:r w:rsidR="00EC6FA0" w:rsidRPr="00DE7940">
        <w:rPr>
          <w:i/>
          <w:lang w:val="fr-CA"/>
        </w:rPr>
        <w:t xml:space="preserve">Global </w:t>
      </w:r>
      <w:proofErr w:type="spellStart"/>
      <w:r w:rsidR="00EC6FA0" w:rsidRPr="00DE7940">
        <w:rPr>
          <w:i/>
          <w:lang w:val="fr-CA"/>
        </w:rPr>
        <w:t>Chemicals</w:t>
      </w:r>
      <w:proofErr w:type="spellEnd"/>
      <w:r w:rsidR="00EC6FA0" w:rsidRPr="00DE7940">
        <w:rPr>
          <w:i/>
          <w:lang w:val="fr-CA"/>
        </w:rPr>
        <w:t xml:space="preserve"> Outlook </w:t>
      </w:r>
      <w:r w:rsidR="00EC6FA0" w:rsidRPr="00DE7940">
        <w:rPr>
          <w:lang w:val="fr-CA"/>
        </w:rPr>
        <w:t>qui doit paraître en 2018 présente la possibilité d</w:t>
      </w:r>
      <w:r w:rsidR="000D794D" w:rsidRPr="00DE7940">
        <w:rPr>
          <w:lang w:val="fr-CA"/>
        </w:rPr>
        <w:t>’</w:t>
      </w:r>
      <w:r w:rsidR="00EC6FA0" w:rsidRPr="00DE7940">
        <w:rPr>
          <w:lang w:val="fr-CA"/>
        </w:rPr>
        <w:t>entreprendre une analyse qui peut enrichir les travaux du Groupe de travail à composition non limitée de la Conférence à sa réunion de 2018.</w:t>
      </w:r>
    </w:p>
    <w:p w:rsidR="00524CE1" w:rsidRPr="00DE7940" w:rsidRDefault="00EC6FA0" w:rsidP="005752F1">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La chimie durable</w:t>
      </w:r>
      <w:r w:rsidR="00E44A21">
        <w:rPr>
          <w:lang w:val="fr-CA"/>
        </w:rPr>
        <w:t xml:space="preserve"> est</w:t>
      </w:r>
      <w:r w:rsidRPr="00DE7940">
        <w:rPr>
          <w:lang w:val="fr-CA"/>
        </w:rPr>
        <w:t xml:space="preserve"> un autre domaine </w:t>
      </w:r>
      <w:r w:rsidR="00D30977">
        <w:rPr>
          <w:lang w:val="fr-CA"/>
        </w:rPr>
        <w:t xml:space="preserve">important </w:t>
      </w:r>
      <w:r w:rsidRPr="00DE7940">
        <w:rPr>
          <w:lang w:val="fr-CA"/>
        </w:rPr>
        <w:t>qui fait l</w:t>
      </w:r>
      <w:r w:rsidR="000D794D" w:rsidRPr="00DE7940">
        <w:rPr>
          <w:lang w:val="fr-CA"/>
        </w:rPr>
        <w:t>’</w:t>
      </w:r>
      <w:r w:rsidRPr="00DE7940">
        <w:rPr>
          <w:lang w:val="fr-CA"/>
        </w:rPr>
        <w:t>objet d</w:t>
      </w:r>
      <w:r w:rsidR="000D794D" w:rsidRPr="00DE7940">
        <w:rPr>
          <w:lang w:val="fr-CA"/>
        </w:rPr>
        <w:t>’</w:t>
      </w:r>
      <w:r w:rsidRPr="00DE7940">
        <w:rPr>
          <w:lang w:val="fr-CA"/>
        </w:rPr>
        <w:t>une attention croissante au niveau international</w:t>
      </w:r>
      <w:r w:rsidR="00E44A21">
        <w:rPr>
          <w:lang w:val="fr-CA"/>
        </w:rPr>
        <w:t>.</w:t>
      </w:r>
      <w:r w:rsidR="00D30977" w:rsidRPr="00DE7940">
        <w:rPr>
          <w:lang w:val="fr-CA"/>
        </w:rPr>
        <w:t xml:space="preserve"> </w:t>
      </w:r>
      <w:r w:rsidR="00E44A21">
        <w:rPr>
          <w:lang w:val="fr-CA"/>
        </w:rPr>
        <w:t>S</w:t>
      </w:r>
      <w:r w:rsidR="00E44A21" w:rsidRPr="00DE7940">
        <w:rPr>
          <w:lang w:val="fr-CA"/>
        </w:rPr>
        <w:t xml:space="preserve">usceptible </w:t>
      </w:r>
      <w:r w:rsidR="000C5192" w:rsidRPr="00DE7940">
        <w:rPr>
          <w:lang w:val="fr-CA"/>
        </w:rPr>
        <w:t xml:space="preserve">de bouleverser les règles du jeu dans les domaines de la conception, de la </w:t>
      </w:r>
      <w:r w:rsidR="00831DAC" w:rsidRPr="00DE7940">
        <w:rPr>
          <w:lang w:val="fr-CA"/>
        </w:rPr>
        <w:t>fabrica</w:t>
      </w:r>
      <w:r w:rsidR="000C5192" w:rsidRPr="00DE7940">
        <w:rPr>
          <w:lang w:val="fr-CA"/>
        </w:rPr>
        <w:t>tion et de l</w:t>
      </w:r>
      <w:r w:rsidR="000D794D" w:rsidRPr="00DE7940">
        <w:rPr>
          <w:lang w:val="fr-CA"/>
        </w:rPr>
        <w:t>’</w:t>
      </w:r>
      <w:r w:rsidR="000C5192" w:rsidRPr="00DE7940">
        <w:rPr>
          <w:lang w:val="fr-CA"/>
        </w:rPr>
        <w:t>utilisation des produits chimiques</w:t>
      </w:r>
      <w:r w:rsidR="00E44A21">
        <w:rPr>
          <w:lang w:val="fr-CA"/>
        </w:rPr>
        <w:t>,</w:t>
      </w:r>
      <w:r w:rsidR="000C5192" w:rsidRPr="00DE7940">
        <w:rPr>
          <w:lang w:val="fr-CA"/>
        </w:rPr>
        <w:t xml:space="preserve"> </w:t>
      </w:r>
      <w:r w:rsidR="00E44A21">
        <w:rPr>
          <w:lang w:val="fr-CA"/>
        </w:rPr>
        <w:t>e</w:t>
      </w:r>
      <w:r w:rsidR="00D30977" w:rsidRPr="00DE7940">
        <w:rPr>
          <w:lang w:val="fr-CA"/>
        </w:rPr>
        <w:t xml:space="preserve">lle </w:t>
      </w:r>
      <w:r w:rsidR="000C5192" w:rsidRPr="00DE7940">
        <w:rPr>
          <w:lang w:val="fr-CA"/>
        </w:rPr>
        <w:t>p</w:t>
      </w:r>
      <w:r w:rsidR="005752F1" w:rsidRPr="00DE7940">
        <w:rPr>
          <w:lang w:val="fr-CA"/>
        </w:rPr>
        <w:t>eu</w:t>
      </w:r>
      <w:r w:rsidR="000C5192" w:rsidRPr="00DE7940">
        <w:rPr>
          <w:lang w:val="fr-CA"/>
        </w:rPr>
        <w:t xml:space="preserve">t contribuer appréciablement à </w:t>
      </w:r>
      <w:r w:rsidR="005752F1" w:rsidRPr="00DE7940">
        <w:rPr>
          <w:lang w:val="fr-CA"/>
        </w:rPr>
        <w:t>définir l</w:t>
      </w:r>
      <w:r w:rsidR="000D794D" w:rsidRPr="00DE7940">
        <w:rPr>
          <w:lang w:val="fr-CA"/>
        </w:rPr>
        <w:t>’</w:t>
      </w:r>
      <w:r w:rsidR="005752F1" w:rsidRPr="00DE7940">
        <w:rPr>
          <w:lang w:val="fr-CA"/>
        </w:rPr>
        <w:t xml:space="preserve">avenir de la gestion des produits chimiques, à condition de prendre en considération les </w:t>
      </w:r>
      <w:r w:rsidR="00831DAC" w:rsidRPr="00DE7940">
        <w:rPr>
          <w:lang w:val="fr-CA"/>
        </w:rPr>
        <w:t>possibil</w:t>
      </w:r>
      <w:r w:rsidR="005752F1" w:rsidRPr="00DE7940">
        <w:rPr>
          <w:lang w:val="fr-CA"/>
        </w:rPr>
        <w:t>ités et préoccupations de tous les pays, et offre une occasion de lier les travaux sur les produits chimiques et les déchets aux analyses et actions entreprises en faveur d</w:t>
      </w:r>
      <w:r w:rsidR="000D794D" w:rsidRPr="00DE7940">
        <w:rPr>
          <w:lang w:val="fr-CA"/>
        </w:rPr>
        <w:t>’</w:t>
      </w:r>
      <w:r w:rsidR="005752F1" w:rsidRPr="00DE7940">
        <w:rPr>
          <w:lang w:val="fr-CA"/>
        </w:rPr>
        <w:t>une économie verte inclusive et de modes de consommation et de production durables.</w:t>
      </w:r>
    </w:p>
    <w:p w:rsidR="00524CE1" w:rsidRPr="00DE7940" w:rsidRDefault="005752F1" w:rsidP="00D50443">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Conformément à ses mandats, le PNUE prévoit d</w:t>
      </w:r>
      <w:r w:rsidR="000D794D" w:rsidRPr="00DE7940">
        <w:rPr>
          <w:lang w:val="fr-CA"/>
        </w:rPr>
        <w:t>’</w:t>
      </w:r>
      <w:r w:rsidRPr="00DE7940">
        <w:rPr>
          <w:lang w:val="fr-CA"/>
        </w:rPr>
        <w:t>accroître sa contribution à la réalisation de l</w:t>
      </w:r>
      <w:r w:rsidR="000D794D" w:rsidRPr="00DE7940">
        <w:rPr>
          <w:lang w:val="fr-CA"/>
        </w:rPr>
        <w:t>’</w:t>
      </w:r>
      <w:r w:rsidRPr="00DE7940">
        <w:rPr>
          <w:lang w:val="fr-CA"/>
        </w:rPr>
        <w:t>objectif à l</w:t>
      </w:r>
      <w:r w:rsidR="000D794D" w:rsidRPr="00DE7940">
        <w:rPr>
          <w:lang w:val="fr-CA"/>
        </w:rPr>
        <w:t>’</w:t>
      </w:r>
      <w:r w:rsidRPr="00DE7940">
        <w:rPr>
          <w:lang w:val="fr-CA"/>
        </w:rPr>
        <w:t>horizon 2020.</w:t>
      </w:r>
      <w:r w:rsidR="00524CE1" w:rsidRPr="00DE7940">
        <w:rPr>
          <w:lang w:val="fr-CA"/>
        </w:rPr>
        <w:t xml:space="preserve"> </w:t>
      </w:r>
      <w:r w:rsidRPr="00DE7940">
        <w:rPr>
          <w:lang w:val="fr-CA"/>
        </w:rPr>
        <w:t xml:space="preserve">Il a récemment restructuré le Service Substances chimiques et Déchets en vue de renforcer et de </w:t>
      </w:r>
      <w:r w:rsidR="00D50443" w:rsidRPr="00DE7940">
        <w:rPr>
          <w:lang w:val="fr-CA"/>
        </w:rPr>
        <w:t xml:space="preserve">promouvoir </w:t>
      </w:r>
      <w:r w:rsidRPr="00DE7940">
        <w:rPr>
          <w:lang w:val="fr-CA"/>
        </w:rPr>
        <w:t xml:space="preserve">la gestion rationnelle des produits chimiques et des déchets tout au long de leur cycle de vie </w:t>
      </w:r>
      <w:r w:rsidR="00D50443" w:rsidRPr="00DE7940">
        <w:rPr>
          <w:lang w:val="fr-CA"/>
        </w:rPr>
        <w:t>et de favoriser l</w:t>
      </w:r>
      <w:r w:rsidR="000D794D" w:rsidRPr="00DE7940">
        <w:rPr>
          <w:lang w:val="fr-CA"/>
        </w:rPr>
        <w:t>’</w:t>
      </w:r>
      <w:r w:rsidR="00D50443" w:rsidRPr="00DE7940">
        <w:rPr>
          <w:lang w:val="fr-CA"/>
        </w:rPr>
        <w:t>instauration d</w:t>
      </w:r>
      <w:r w:rsidR="000D794D" w:rsidRPr="00DE7940">
        <w:rPr>
          <w:lang w:val="fr-CA"/>
        </w:rPr>
        <w:t>’</w:t>
      </w:r>
      <w:r w:rsidRPr="00DE7940">
        <w:rPr>
          <w:lang w:val="fr-CA"/>
        </w:rPr>
        <w:t>une économie circulaire.</w:t>
      </w:r>
      <w:r w:rsidR="00524CE1" w:rsidRPr="00DE7940">
        <w:rPr>
          <w:lang w:val="fr-CA"/>
        </w:rPr>
        <w:t xml:space="preserve"> </w:t>
      </w:r>
      <w:r w:rsidR="00D50443" w:rsidRPr="00DE7940">
        <w:rPr>
          <w:lang w:val="fr-CA"/>
        </w:rPr>
        <w:t xml:space="preserve">Le Service Substances chimiques et Déchets combine les mandats du PNUE </w:t>
      </w:r>
      <w:r w:rsidR="00831DAC" w:rsidRPr="00DE7940">
        <w:rPr>
          <w:lang w:val="fr-CA"/>
        </w:rPr>
        <w:t xml:space="preserve">consistant à </w:t>
      </w:r>
      <w:r w:rsidR="00D50443" w:rsidRPr="00DE7940">
        <w:rPr>
          <w:lang w:val="fr-CA"/>
        </w:rPr>
        <w:t xml:space="preserve">assurer la prestation de services scientifiques et techniques dans le domaine de la gestion des produits chimiques et </w:t>
      </w:r>
      <w:r w:rsidR="00831DAC" w:rsidRPr="00DE7940">
        <w:rPr>
          <w:lang w:val="fr-CA"/>
        </w:rPr>
        <w:t>à</w:t>
      </w:r>
      <w:r w:rsidR="00D50443" w:rsidRPr="00DE7940">
        <w:rPr>
          <w:lang w:val="fr-CA"/>
        </w:rPr>
        <w:t xml:space="preserve"> faciliter la collaboration entre le secrétariat de l</w:t>
      </w:r>
      <w:r w:rsidR="000D794D" w:rsidRPr="00DE7940">
        <w:rPr>
          <w:lang w:val="fr-CA"/>
        </w:rPr>
        <w:t>’</w:t>
      </w:r>
      <w:r w:rsidR="00D50443" w:rsidRPr="00DE7940">
        <w:rPr>
          <w:lang w:val="fr-CA"/>
        </w:rPr>
        <w:t xml:space="preserve">Approche stratégique, le secrétariat provisoire de la Convention de Minamata, le Programme </w:t>
      </w:r>
      <w:proofErr w:type="spellStart"/>
      <w:r w:rsidR="00D50443" w:rsidRPr="00DE7940">
        <w:rPr>
          <w:lang w:val="fr-CA"/>
        </w:rPr>
        <w:t>ActionOzone</w:t>
      </w:r>
      <w:proofErr w:type="spellEnd"/>
      <w:r w:rsidR="00D50443" w:rsidRPr="00DE7940">
        <w:rPr>
          <w:lang w:val="fr-CA"/>
        </w:rPr>
        <w:t xml:space="preserve"> du PNUE, le Centre international d</w:t>
      </w:r>
      <w:r w:rsidR="000D794D" w:rsidRPr="00DE7940">
        <w:rPr>
          <w:lang w:val="fr-CA"/>
        </w:rPr>
        <w:t>’</w:t>
      </w:r>
      <w:r w:rsidR="00D50443" w:rsidRPr="00DE7940">
        <w:rPr>
          <w:lang w:val="fr-CA"/>
        </w:rPr>
        <w:t>écotechnologie et le Programme spécial d</w:t>
      </w:r>
      <w:r w:rsidR="000D794D" w:rsidRPr="00DE7940">
        <w:rPr>
          <w:lang w:val="fr-CA"/>
        </w:rPr>
        <w:t>’</w:t>
      </w:r>
      <w:r w:rsidR="00D50443" w:rsidRPr="00DE7940">
        <w:rPr>
          <w:lang w:val="fr-CA"/>
        </w:rPr>
        <w:t>appui au renforcement des institutions nationales aux fins de la mise en œuvre des conventions de Bâle, de Rotterdam et de Stockholm.</w:t>
      </w:r>
    </w:p>
    <w:p w:rsidR="00524CE1" w:rsidRPr="00DE7940" w:rsidRDefault="00D50443" w:rsidP="002509A7">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Le renforcement des partenariats avec les gouvernements, le secteur privé et la société civile</w:t>
      </w:r>
      <w:r w:rsidR="00831DAC" w:rsidRPr="00DE7940">
        <w:rPr>
          <w:lang w:val="fr-CA"/>
        </w:rPr>
        <w:t>,</w:t>
      </w:r>
      <w:r w:rsidRPr="00DE7940">
        <w:rPr>
          <w:lang w:val="fr-CA"/>
        </w:rPr>
        <w:t xml:space="preserve"> la promotion d</w:t>
      </w:r>
      <w:r w:rsidR="000D794D" w:rsidRPr="00DE7940">
        <w:rPr>
          <w:lang w:val="fr-CA"/>
        </w:rPr>
        <w:t>’</w:t>
      </w:r>
      <w:r w:rsidRPr="00DE7940">
        <w:rPr>
          <w:lang w:val="fr-CA"/>
        </w:rPr>
        <w:t xml:space="preserve">une gestion </w:t>
      </w:r>
      <w:r w:rsidR="002509A7" w:rsidRPr="00DE7940">
        <w:rPr>
          <w:lang w:val="fr-CA"/>
        </w:rPr>
        <w:t xml:space="preserve">axée sur les résultats et </w:t>
      </w:r>
      <w:r w:rsidR="00831DAC" w:rsidRPr="00DE7940">
        <w:rPr>
          <w:lang w:val="fr-CA"/>
        </w:rPr>
        <w:t>l</w:t>
      </w:r>
      <w:r w:rsidR="000D794D" w:rsidRPr="00DE7940">
        <w:rPr>
          <w:lang w:val="fr-CA"/>
        </w:rPr>
        <w:t>’</w:t>
      </w:r>
      <w:r w:rsidR="00831DAC" w:rsidRPr="00DE7940">
        <w:rPr>
          <w:lang w:val="fr-CA"/>
        </w:rPr>
        <w:t xml:space="preserve">intensification de </w:t>
      </w:r>
      <w:r w:rsidR="002509A7" w:rsidRPr="00DE7940">
        <w:rPr>
          <w:lang w:val="fr-CA"/>
        </w:rPr>
        <w:t>la communication seront les idées maîtresses des travaux au cours des prochaines années</w:t>
      </w:r>
      <w:r w:rsidR="00D30977">
        <w:rPr>
          <w:lang w:val="fr-CA"/>
        </w:rPr>
        <w:t>. P</w:t>
      </w:r>
      <w:r w:rsidR="002509A7" w:rsidRPr="00DE7940">
        <w:rPr>
          <w:lang w:val="fr-CA"/>
        </w:rPr>
        <w:t>arallèlement, la participation accrue de l</w:t>
      </w:r>
      <w:r w:rsidR="000D794D" w:rsidRPr="00DE7940">
        <w:rPr>
          <w:lang w:val="fr-CA"/>
        </w:rPr>
        <w:t>’</w:t>
      </w:r>
      <w:r w:rsidR="002509A7" w:rsidRPr="00DE7940">
        <w:rPr>
          <w:lang w:val="fr-CA"/>
        </w:rPr>
        <w:t>industrie à la gestion rationnelle des produits chimiques qu</w:t>
      </w:r>
      <w:r w:rsidR="000D794D" w:rsidRPr="00DE7940">
        <w:rPr>
          <w:lang w:val="fr-CA"/>
        </w:rPr>
        <w:t>’</w:t>
      </w:r>
      <w:r w:rsidR="002509A7" w:rsidRPr="00DE7940">
        <w:rPr>
          <w:lang w:val="fr-CA"/>
        </w:rPr>
        <w:t>exige l</w:t>
      </w:r>
      <w:r w:rsidR="000D794D" w:rsidRPr="00DE7940">
        <w:rPr>
          <w:lang w:val="fr-CA"/>
        </w:rPr>
        <w:t>’</w:t>
      </w:r>
      <w:r w:rsidR="002509A7" w:rsidRPr="00DE7940">
        <w:rPr>
          <w:lang w:val="fr-CA"/>
        </w:rPr>
        <w:t>approche intégrée en matière de financement permettra de renforcer les partenariats orientés vers l</w:t>
      </w:r>
      <w:r w:rsidR="000D794D" w:rsidRPr="00DE7940">
        <w:rPr>
          <w:lang w:val="fr-CA"/>
        </w:rPr>
        <w:t>’</w:t>
      </w:r>
      <w:r w:rsidR="002509A7" w:rsidRPr="00DE7940">
        <w:rPr>
          <w:lang w:val="fr-CA"/>
        </w:rPr>
        <w:t>obtention de résultats.</w:t>
      </w:r>
    </w:p>
    <w:p w:rsidR="00524CE1" w:rsidRPr="00DE7940" w:rsidRDefault="002509A7" w:rsidP="002509A7">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Il est tout aussi important que le PNUE continue d</w:t>
      </w:r>
      <w:r w:rsidR="000D794D" w:rsidRPr="00DE7940">
        <w:rPr>
          <w:lang w:val="fr-CA"/>
        </w:rPr>
        <w:t>’</w:t>
      </w:r>
      <w:r w:rsidRPr="00DE7940">
        <w:rPr>
          <w:lang w:val="fr-CA"/>
        </w:rPr>
        <w:t>établir des ponts et de collaborer de plus en plus étroitement avec les autres organisations participant à l</w:t>
      </w:r>
      <w:r w:rsidR="000D794D" w:rsidRPr="00DE7940">
        <w:rPr>
          <w:lang w:val="fr-CA"/>
        </w:rPr>
        <w:t>’</w:t>
      </w:r>
      <w:r w:rsidRPr="00DE7940">
        <w:rPr>
          <w:lang w:val="fr-CA"/>
        </w:rPr>
        <w:t>IOMC, le Secrétariat des conventions de Bâle, de Rotterdam et de Stockholm, le FEM</w:t>
      </w:r>
      <w:r w:rsidR="00831DAC" w:rsidRPr="00DE7940">
        <w:rPr>
          <w:lang w:val="fr-CA"/>
        </w:rPr>
        <w:t>,</w:t>
      </w:r>
      <w:r w:rsidRPr="00DE7940">
        <w:rPr>
          <w:lang w:val="fr-CA"/>
        </w:rPr>
        <w:t xml:space="preserve"> et d</w:t>
      </w:r>
      <w:r w:rsidR="000D794D" w:rsidRPr="00DE7940">
        <w:rPr>
          <w:lang w:val="fr-CA"/>
        </w:rPr>
        <w:t>’</w:t>
      </w:r>
      <w:r w:rsidRPr="00DE7940">
        <w:rPr>
          <w:lang w:val="fr-CA"/>
        </w:rPr>
        <w:t>autres partenaires.</w:t>
      </w:r>
    </w:p>
    <w:p w:rsidR="00524CE1" w:rsidRPr="00DE7940" w:rsidRDefault="002509A7" w:rsidP="00A00B08">
      <w:pPr>
        <w:pStyle w:val="Normalnumber"/>
        <w:numPr>
          <w:ilvl w:val="0"/>
          <w:numId w:val="34"/>
        </w:numPr>
        <w:tabs>
          <w:tab w:val="clear" w:pos="1247"/>
          <w:tab w:val="clear" w:pos="1814"/>
          <w:tab w:val="clear" w:pos="2381"/>
          <w:tab w:val="clear" w:pos="2948"/>
          <w:tab w:val="clear" w:pos="3515"/>
          <w:tab w:val="clear" w:pos="4082"/>
          <w:tab w:val="left" w:pos="624"/>
        </w:tabs>
        <w:ind w:left="1247" w:firstLine="0"/>
        <w:rPr>
          <w:lang w:val="fr-CA"/>
        </w:rPr>
      </w:pPr>
      <w:r w:rsidRPr="00DE7940">
        <w:rPr>
          <w:lang w:val="fr-CA"/>
        </w:rPr>
        <w:t>Pour faire en sorte que le PNUE puisse maintenir et accroître ses efforts et son assistance à tous les niveaux en matière de gestion rationnelle des produits chimiques et des déchets</w:t>
      </w:r>
      <w:r w:rsidR="00831DAC" w:rsidRPr="00DE7940">
        <w:rPr>
          <w:lang w:val="fr-CA"/>
        </w:rPr>
        <w:t>,</w:t>
      </w:r>
      <w:r w:rsidRPr="00DE7940">
        <w:rPr>
          <w:lang w:val="fr-CA"/>
        </w:rPr>
        <w:t xml:space="preserve"> et contribuer efficacement à la mise en œuvre des conventions se rapportant aux produits chimiques et aux déchets et de l</w:t>
      </w:r>
      <w:r w:rsidR="000D794D" w:rsidRPr="00DE7940">
        <w:rPr>
          <w:lang w:val="fr-CA"/>
        </w:rPr>
        <w:t>’</w:t>
      </w:r>
      <w:r w:rsidRPr="00DE7940">
        <w:rPr>
          <w:lang w:val="fr-CA"/>
        </w:rPr>
        <w:t xml:space="preserve">Approche stratégique de la gestion internationale des produits chimiques, il </w:t>
      </w:r>
      <w:r w:rsidR="00A00B08" w:rsidRPr="00DE7940">
        <w:rPr>
          <w:lang w:val="fr-CA"/>
        </w:rPr>
        <w:t>sera nécessaire d</w:t>
      </w:r>
      <w:r w:rsidR="000D794D" w:rsidRPr="00DE7940">
        <w:rPr>
          <w:lang w:val="fr-CA"/>
        </w:rPr>
        <w:t>’</w:t>
      </w:r>
      <w:r w:rsidR="00A00B08" w:rsidRPr="00DE7940">
        <w:rPr>
          <w:lang w:val="fr-CA"/>
        </w:rPr>
        <w:t>obtenir</w:t>
      </w:r>
      <w:r w:rsidRPr="00DE7940">
        <w:rPr>
          <w:lang w:val="fr-CA"/>
        </w:rPr>
        <w:t xml:space="preserve"> des </w:t>
      </w:r>
      <w:r w:rsidR="00C97530" w:rsidRPr="00DE7940">
        <w:rPr>
          <w:lang w:val="fr-CA"/>
        </w:rPr>
        <w:t>financement</w:t>
      </w:r>
      <w:r w:rsidRPr="00DE7940">
        <w:rPr>
          <w:lang w:val="fr-CA"/>
        </w:rPr>
        <w:t xml:space="preserve">s appropriés </w:t>
      </w:r>
      <w:r w:rsidR="00A00B08" w:rsidRPr="00DE7940">
        <w:rPr>
          <w:lang w:val="fr-CA"/>
        </w:rPr>
        <w:t>auprès</w:t>
      </w:r>
      <w:r w:rsidR="00C97530" w:rsidRPr="00DE7940">
        <w:rPr>
          <w:lang w:val="fr-CA"/>
        </w:rPr>
        <w:t xml:space="preserve"> d</w:t>
      </w:r>
      <w:r w:rsidR="000D794D" w:rsidRPr="00DE7940">
        <w:rPr>
          <w:lang w:val="fr-CA"/>
        </w:rPr>
        <w:t>’</w:t>
      </w:r>
      <w:r w:rsidR="00C97530" w:rsidRPr="00DE7940">
        <w:rPr>
          <w:lang w:val="fr-CA"/>
        </w:rPr>
        <w:t>une grande variété de sources</w:t>
      </w:r>
      <w:r w:rsidR="00A00B08" w:rsidRPr="00DE7940">
        <w:rPr>
          <w:lang w:val="fr-CA"/>
        </w:rPr>
        <w:t>; un moyen d</w:t>
      </w:r>
      <w:r w:rsidR="000D794D" w:rsidRPr="00DE7940">
        <w:rPr>
          <w:lang w:val="fr-CA"/>
        </w:rPr>
        <w:t>’</w:t>
      </w:r>
      <w:r w:rsidR="00A00B08" w:rsidRPr="00DE7940">
        <w:rPr>
          <w:lang w:val="fr-CA"/>
        </w:rPr>
        <w:t>y parvenir pourrait être, à titre d</w:t>
      </w:r>
      <w:r w:rsidR="000D794D" w:rsidRPr="00DE7940">
        <w:rPr>
          <w:lang w:val="fr-CA"/>
        </w:rPr>
        <w:t>’</w:t>
      </w:r>
      <w:r w:rsidR="00A00B08" w:rsidRPr="00DE7940">
        <w:rPr>
          <w:lang w:val="fr-CA"/>
        </w:rPr>
        <w:t>exemple, l</w:t>
      </w:r>
      <w:r w:rsidR="000D794D" w:rsidRPr="00DE7940">
        <w:rPr>
          <w:lang w:val="fr-CA"/>
        </w:rPr>
        <w:t>’</w:t>
      </w:r>
      <w:r w:rsidR="00A00B08" w:rsidRPr="00DE7940">
        <w:rPr>
          <w:lang w:val="fr-CA"/>
        </w:rPr>
        <w:t>alignement de l</w:t>
      </w:r>
      <w:r w:rsidR="000D794D" w:rsidRPr="00DE7940">
        <w:rPr>
          <w:lang w:val="fr-CA"/>
        </w:rPr>
        <w:t>’</w:t>
      </w:r>
      <w:r w:rsidR="00A00B08" w:rsidRPr="00DE7940">
        <w:rPr>
          <w:lang w:val="fr-CA"/>
        </w:rPr>
        <w:t>appui technique et de l</w:t>
      </w:r>
      <w:r w:rsidR="000D794D" w:rsidRPr="00DE7940">
        <w:rPr>
          <w:lang w:val="fr-CA"/>
        </w:rPr>
        <w:t>’</w:t>
      </w:r>
      <w:r w:rsidR="00A00B08" w:rsidRPr="00DE7940">
        <w:rPr>
          <w:lang w:val="fr-CA"/>
        </w:rPr>
        <w:t>expertise offerts par le PNUE sur les priorités du FEM et sa capacité matière de mobilisation de ressources, selon les besoins.</w:t>
      </w:r>
    </w:p>
    <w:tbl>
      <w:tblPr>
        <w:tblW w:w="9610" w:type="dxa"/>
        <w:jc w:val="right"/>
        <w:tblCellMar>
          <w:top w:w="28" w:type="dxa"/>
          <w:left w:w="17" w:type="dxa"/>
          <w:bottom w:w="28" w:type="dxa"/>
          <w:right w:w="17" w:type="dxa"/>
        </w:tblCellMar>
        <w:tblLook w:val="01E0" w:firstRow="1" w:lastRow="1" w:firstColumn="1" w:lastColumn="1" w:noHBand="0" w:noVBand="0"/>
      </w:tblPr>
      <w:tblGrid>
        <w:gridCol w:w="1922"/>
        <w:gridCol w:w="1922"/>
        <w:gridCol w:w="1922"/>
        <w:gridCol w:w="1922"/>
        <w:gridCol w:w="1922"/>
      </w:tblGrid>
      <w:tr w:rsidR="00524CE1" w:rsidRPr="00DE7940" w:rsidTr="000D29C4">
        <w:trPr>
          <w:trHeight w:hRule="exact" w:val="612"/>
          <w:jc w:val="right"/>
        </w:trPr>
        <w:tc>
          <w:tcPr>
            <w:tcW w:w="1922" w:type="dxa"/>
            <w:shd w:val="clear" w:color="auto" w:fill="auto"/>
            <w:tcMar>
              <w:left w:w="57" w:type="dxa"/>
              <w:right w:w="57" w:type="dxa"/>
            </w:tcMar>
          </w:tcPr>
          <w:p w:rsidR="00524CE1" w:rsidRPr="00DE7940" w:rsidRDefault="00524CE1" w:rsidP="00476796">
            <w:pPr>
              <w:pStyle w:val="Normal-pool"/>
              <w:spacing w:before="520"/>
              <w:rPr>
                <w:lang w:val="fr-CA"/>
              </w:rPr>
            </w:pPr>
          </w:p>
        </w:tc>
        <w:tc>
          <w:tcPr>
            <w:tcW w:w="1922" w:type="dxa"/>
            <w:shd w:val="clear" w:color="auto" w:fill="auto"/>
          </w:tcPr>
          <w:p w:rsidR="00524CE1" w:rsidRPr="00DE7940" w:rsidRDefault="00524CE1" w:rsidP="00476796">
            <w:pPr>
              <w:pStyle w:val="Normal-pool"/>
              <w:spacing w:before="520"/>
              <w:rPr>
                <w:lang w:val="fr-CA"/>
              </w:rPr>
            </w:pPr>
          </w:p>
        </w:tc>
        <w:tc>
          <w:tcPr>
            <w:tcW w:w="1922" w:type="dxa"/>
            <w:tcBorders>
              <w:bottom w:val="single" w:sz="4" w:space="0" w:color="auto"/>
            </w:tcBorders>
            <w:shd w:val="clear" w:color="auto" w:fill="auto"/>
            <w:tcMar>
              <w:left w:w="57" w:type="dxa"/>
              <w:right w:w="57" w:type="dxa"/>
            </w:tcMar>
          </w:tcPr>
          <w:p w:rsidR="00524CE1" w:rsidRPr="00DE7940" w:rsidRDefault="00524CE1" w:rsidP="00476796">
            <w:pPr>
              <w:pStyle w:val="Normal-pool"/>
              <w:spacing w:before="520"/>
              <w:rPr>
                <w:lang w:val="fr-CA"/>
              </w:rPr>
            </w:pPr>
          </w:p>
        </w:tc>
        <w:tc>
          <w:tcPr>
            <w:tcW w:w="1922" w:type="dxa"/>
            <w:shd w:val="clear" w:color="auto" w:fill="auto"/>
            <w:tcMar>
              <w:left w:w="57" w:type="dxa"/>
              <w:right w:w="57" w:type="dxa"/>
            </w:tcMar>
          </w:tcPr>
          <w:p w:rsidR="00524CE1" w:rsidRPr="00DE7940" w:rsidRDefault="00524CE1" w:rsidP="00476796">
            <w:pPr>
              <w:pStyle w:val="Normal-pool"/>
              <w:spacing w:before="520"/>
              <w:rPr>
                <w:lang w:val="fr-CA"/>
              </w:rPr>
            </w:pPr>
          </w:p>
        </w:tc>
        <w:tc>
          <w:tcPr>
            <w:tcW w:w="1922" w:type="dxa"/>
            <w:shd w:val="clear" w:color="auto" w:fill="auto"/>
          </w:tcPr>
          <w:p w:rsidR="00524CE1" w:rsidRPr="00DE7940" w:rsidRDefault="00524CE1" w:rsidP="00476796">
            <w:pPr>
              <w:pStyle w:val="Normal-pool"/>
              <w:spacing w:before="520"/>
              <w:rPr>
                <w:lang w:val="fr-CA"/>
              </w:rPr>
            </w:pPr>
          </w:p>
        </w:tc>
      </w:tr>
    </w:tbl>
    <w:p w:rsidR="00524CE1" w:rsidRPr="00DE7940" w:rsidRDefault="00524CE1" w:rsidP="00524CE1">
      <w:pPr>
        <w:pStyle w:val="Normal-pool"/>
        <w:tabs>
          <w:tab w:val="left" w:pos="624"/>
        </w:tabs>
        <w:spacing w:after="120"/>
        <w:rPr>
          <w:color w:val="000000"/>
          <w:sz w:val="22"/>
          <w:szCs w:val="22"/>
          <w:lang w:val="fr-CA"/>
        </w:rPr>
      </w:pPr>
    </w:p>
    <w:sectPr w:rsidR="00524CE1" w:rsidRPr="00DE7940" w:rsidSect="001A6132">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B5" w:rsidRDefault="00D673B5">
      <w:r>
        <w:separator/>
      </w:r>
    </w:p>
  </w:endnote>
  <w:endnote w:type="continuationSeparator" w:id="0">
    <w:p w:rsidR="00D673B5" w:rsidRDefault="00D6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4D" w:rsidRDefault="000D794D">
    <w:pPr>
      <w:pStyle w:val="Footer"/>
    </w:pPr>
    <w:r>
      <w:rPr>
        <w:rStyle w:val="PageNumber"/>
      </w:rPr>
      <w:fldChar w:fldCharType="begin"/>
    </w:r>
    <w:r>
      <w:rPr>
        <w:rStyle w:val="PageNumber"/>
      </w:rPr>
      <w:instrText xml:space="preserve"> PAGE </w:instrText>
    </w:r>
    <w:r>
      <w:rPr>
        <w:rStyle w:val="PageNumber"/>
      </w:rPr>
      <w:fldChar w:fldCharType="separate"/>
    </w:r>
    <w:r w:rsidR="006958BA">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4D" w:rsidRDefault="000D794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958BA">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4D" w:rsidRPr="002A0031" w:rsidRDefault="000D794D" w:rsidP="001A6132">
    <w:pPr>
      <w:pStyle w:val="Footer"/>
      <w:rPr>
        <w:sz w:val="20"/>
      </w:rPr>
    </w:pPr>
    <w:r w:rsidRPr="002A0031">
      <w:rPr>
        <w:sz w:val="20"/>
      </w:rPr>
      <w:t>K1</w:t>
    </w:r>
    <w:r>
      <w:rPr>
        <w:sz w:val="20"/>
      </w:rPr>
      <w:t>600537</w:t>
    </w:r>
    <w:r w:rsidRPr="002A0031">
      <w:rPr>
        <w:sz w:val="20"/>
      </w:rPr>
      <w:tab/>
    </w:r>
    <w:r w:rsidR="00CA102E">
      <w:rPr>
        <w:sz w:val="20"/>
      </w:rPr>
      <w:t>0204</w:t>
    </w:r>
    <w:r>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B5" w:rsidRPr="00B862E3" w:rsidRDefault="00D673B5" w:rsidP="00476796">
      <w:pPr>
        <w:spacing w:before="60"/>
        <w:ind w:left="624"/>
        <w:rPr>
          <w:sz w:val="18"/>
          <w:szCs w:val="18"/>
        </w:rPr>
      </w:pPr>
      <w:r w:rsidRPr="00B862E3">
        <w:rPr>
          <w:sz w:val="18"/>
          <w:szCs w:val="18"/>
        </w:rPr>
        <w:separator/>
      </w:r>
    </w:p>
  </w:footnote>
  <w:footnote w:type="continuationSeparator" w:id="0">
    <w:p w:rsidR="00D673B5" w:rsidRDefault="00D673B5">
      <w:r>
        <w:continuationSeparator/>
      </w:r>
    </w:p>
  </w:footnote>
  <w:footnote w:id="1">
    <w:p w:rsidR="000D794D" w:rsidRPr="001F664C" w:rsidRDefault="000D794D" w:rsidP="00476796">
      <w:pPr>
        <w:pStyle w:val="FootnoteText"/>
        <w:tabs>
          <w:tab w:val="clear" w:pos="1247"/>
          <w:tab w:val="clear" w:pos="1814"/>
          <w:tab w:val="clear" w:pos="2381"/>
          <w:tab w:val="clear" w:pos="2948"/>
          <w:tab w:val="clear" w:pos="3515"/>
          <w:tab w:val="clear" w:pos="4082"/>
          <w:tab w:val="left" w:pos="624"/>
        </w:tabs>
        <w:rPr>
          <w:szCs w:val="18"/>
          <w:lang w:val="fr-CA"/>
        </w:rPr>
      </w:pPr>
      <w:r w:rsidRPr="001F664C">
        <w:rPr>
          <w:rStyle w:val="FootnoteReference"/>
          <w:sz w:val="18"/>
          <w:vertAlign w:val="baseline"/>
          <w:lang w:val="fr-CA"/>
        </w:rPr>
        <w:t>* UNEP/EA.2/</w:t>
      </w:r>
      <w:r w:rsidRPr="001F664C">
        <w:rPr>
          <w:szCs w:val="18"/>
          <w:lang w:val="fr-CA"/>
        </w:rPr>
        <w:t xml:space="preserve">1. </w:t>
      </w:r>
    </w:p>
  </w:footnote>
  <w:footnote w:id="2">
    <w:p w:rsidR="000D794D" w:rsidRPr="005C2541" w:rsidRDefault="000D794D" w:rsidP="008D7CBA">
      <w:pPr>
        <w:pStyle w:val="FootnoteText"/>
        <w:rPr>
          <w:lang w:val="fr-CA"/>
        </w:rPr>
      </w:pPr>
      <w:r w:rsidRPr="005C2541">
        <w:rPr>
          <w:rStyle w:val="FootnoteReference"/>
          <w:lang w:val="fr-CA"/>
        </w:rPr>
        <w:footnoteRef/>
      </w:r>
      <w:r w:rsidRPr="005C2541">
        <w:rPr>
          <w:lang w:val="fr-CA"/>
        </w:rPr>
        <w:t xml:space="preserve"> À titre provisoire, en attendant la nomination du</w:t>
      </w:r>
      <w:r>
        <w:rPr>
          <w:lang w:val="fr-CA"/>
        </w:rPr>
        <w:t xml:space="preserve"> </w:t>
      </w:r>
      <w:r w:rsidRPr="005C2541">
        <w:rPr>
          <w:lang w:val="fr-CA"/>
        </w:rPr>
        <w:t xml:space="preserve">représentant </w:t>
      </w:r>
      <w:r>
        <w:rPr>
          <w:lang w:val="fr-CA"/>
        </w:rPr>
        <w:t xml:space="preserve">de </w:t>
      </w:r>
      <w:r w:rsidRPr="005C2541">
        <w:rPr>
          <w:lang w:val="fr-CA"/>
        </w:rPr>
        <w:t>la r</w:t>
      </w:r>
      <w:r>
        <w:rPr>
          <w:lang w:val="fr-CA"/>
        </w:rPr>
        <w:t>é</w:t>
      </w:r>
      <w:r w:rsidRPr="005C2541">
        <w:rPr>
          <w:lang w:val="fr-CA"/>
        </w:rPr>
        <w:t>gion de l’Asie et du Pacifique. L</w:t>
      </w:r>
      <w:r>
        <w:rPr>
          <w:lang w:val="fr-CA"/>
        </w:rPr>
        <w:t>es documents seront</w:t>
      </w:r>
      <w:r w:rsidRPr="005C2541">
        <w:rPr>
          <w:lang w:val="fr-CA"/>
        </w:rPr>
        <w:t xml:space="preserve"> d</w:t>
      </w:r>
      <w:r>
        <w:rPr>
          <w:lang w:val="fr-CA"/>
        </w:rPr>
        <w:t>é</w:t>
      </w:r>
      <w:r w:rsidRPr="005C2541">
        <w:rPr>
          <w:lang w:val="fr-CA"/>
        </w:rPr>
        <w:t>finitive</w:t>
      </w:r>
      <w:r>
        <w:rPr>
          <w:lang w:val="fr-CA"/>
        </w:rPr>
        <w:t>ment approuvés</w:t>
      </w:r>
      <w:r w:rsidRPr="005C2541">
        <w:rPr>
          <w:lang w:val="fr-CA"/>
        </w:rPr>
        <w:t xml:space="preserve"> d</w:t>
      </w:r>
      <w:r>
        <w:rPr>
          <w:lang w:val="fr-CA"/>
        </w:rPr>
        <w:t xml:space="preserve">’ici </w:t>
      </w:r>
      <w:r w:rsidRPr="005C2541">
        <w:rPr>
          <w:lang w:val="fr-CA"/>
        </w:rPr>
        <w:t>au 4 mars 2016.</w:t>
      </w:r>
    </w:p>
  </w:footnote>
  <w:footnote w:id="3">
    <w:p w:rsidR="000D794D" w:rsidRPr="0010779B" w:rsidRDefault="000D794D" w:rsidP="006277A3">
      <w:pPr>
        <w:tabs>
          <w:tab w:val="left" w:pos="4082"/>
        </w:tabs>
        <w:spacing w:before="20" w:after="40"/>
        <w:ind w:left="1247"/>
        <w:rPr>
          <w:sz w:val="18"/>
          <w:szCs w:val="18"/>
          <w:lang w:val="fr-CA"/>
        </w:rPr>
      </w:pPr>
      <w:r w:rsidRPr="00F12EAB">
        <w:rPr>
          <w:sz w:val="18"/>
          <w:szCs w:val="18"/>
          <w:vertAlign w:val="superscript"/>
          <w:lang w:val="en-GB"/>
        </w:rPr>
        <w:footnoteRef/>
      </w:r>
      <w:r w:rsidRPr="0010779B">
        <w:rPr>
          <w:sz w:val="18"/>
          <w:szCs w:val="18"/>
          <w:lang w:val="fr-CA"/>
        </w:rPr>
        <w:t xml:space="preserve"> http://www.unep.org/ietc/ourwork/wastemanagement/GWMO.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4D" w:rsidRPr="00E274B1" w:rsidRDefault="000D794D" w:rsidP="00E274B1">
    <w:pPr>
      <w:pStyle w:val="Header"/>
      <w:rPr>
        <w:szCs w:val="18"/>
      </w:rPr>
    </w:pPr>
    <w:r w:rsidRPr="00E274B1">
      <w:rPr>
        <w:bCs/>
        <w:szCs w:val="18"/>
      </w:rPr>
      <w:t>UNEP</w:t>
    </w:r>
    <w:r w:rsidRPr="00E274B1">
      <w:rPr>
        <w:szCs w:val="18"/>
      </w:rPr>
      <w:t>/EA.</w:t>
    </w:r>
    <w:r>
      <w:rPr>
        <w:szCs w:val="18"/>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4D" w:rsidRPr="00E274B1" w:rsidRDefault="000D794D" w:rsidP="00E274B1">
    <w:pPr>
      <w:pStyle w:val="Header"/>
      <w:jc w:val="right"/>
      <w:rPr>
        <w:szCs w:val="18"/>
      </w:rPr>
    </w:pPr>
    <w:r w:rsidRPr="00E274B1">
      <w:rPr>
        <w:bCs/>
        <w:szCs w:val="18"/>
      </w:rPr>
      <w:t>UNEP</w:t>
    </w:r>
    <w:r w:rsidRPr="00E274B1">
      <w:rPr>
        <w:szCs w:val="18"/>
      </w:rPr>
      <w:t>/EA.</w:t>
    </w:r>
    <w:r>
      <w:rPr>
        <w:szCs w:val="18"/>
      </w:rPr>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4D" w:rsidRPr="00933939" w:rsidRDefault="000D794D" w:rsidP="0093393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8E6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B5B17"/>
    <w:multiLevelType w:val="hybridMultilevel"/>
    <w:tmpl w:val="6FE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79B4"/>
    <w:multiLevelType w:val="hybridMultilevel"/>
    <w:tmpl w:val="A81CADF6"/>
    <w:lvl w:ilvl="0" w:tplc="315E3720">
      <w:start w:val="1"/>
      <w:numFmt w:val="decimal"/>
      <w:lvlText w:val="%1."/>
      <w:lvlJc w:val="left"/>
      <w:pPr>
        <w:ind w:left="933" w:hanging="360"/>
      </w:pPr>
      <w:rPr>
        <w:rFonts w:hint="default"/>
      </w:rPr>
    </w:lvl>
    <w:lvl w:ilvl="1" w:tplc="04090017">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nsid w:val="0E0B691E"/>
    <w:multiLevelType w:val="hybridMultilevel"/>
    <w:tmpl w:val="C298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509B"/>
    <w:multiLevelType w:val="hybridMultilevel"/>
    <w:tmpl w:val="95043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20711"/>
    <w:multiLevelType w:val="hybridMultilevel"/>
    <w:tmpl w:val="757A28DC"/>
    <w:lvl w:ilvl="0" w:tplc="315E3720">
      <w:start w:val="1"/>
      <w:numFmt w:val="decimal"/>
      <w:lvlText w:val="%1."/>
      <w:lvlJc w:val="left"/>
      <w:pPr>
        <w:ind w:left="933" w:hanging="360"/>
      </w:pPr>
      <w:rPr>
        <w:rFonts w:hint="default"/>
      </w:rPr>
    </w:lvl>
    <w:lvl w:ilvl="1" w:tplc="04090017">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1B8156DA"/>
    <w:multiLevelType w:val="hybridMultilevel"/>
    <w:tmpl w:val="3D648398"/>
    <w:lvl w:ilvl="0" w:tplc="315E3720">
      <w:start w:val="1"/>
      <w:numFmt w:val="decimal"/>
      <w:lvlText w:val="%1."/>
      <w:lvlJc w:val="left"/>
      <w:pPr>
        <w:ind w:left="933" w:hanging="360"/>
      </w:pPr>
      <w:rPr>
        <w:rFonts w:hint="default"/>
      </w:rPr>
    </w:lvl>
    <w:lvl w:ilvl="1" w:tplc="388A549A">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8">
    <w:nsid w:val="1BEC5C5B"/>
    <w:multiLevelType w:val="multilevel"/>
    <w:tmpl w:val="B53E86C6"/>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C093925"/>
    <w:multiLevelType w:val="hybridMultilevel"/>
    <w:tmpl w:val="7AA6D1C0"/>
    <w:lvl w:ilvl="0" w:tplc="78F2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97022"/>
    <w:multiLevelType w:val="hybridMultilevel"/>
    <w:tmpl w:val="0C0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6535"/>
    <w:multiLevelType w:val="multilevel"/>
    <w:tmpl w:val="00FE5BB8"/>
    <w:lvl w:ilvl="0">
      <w:start w:val="1"/>
      <w:numFmt w:val="decimal"/>
      <w:lvlText w:val="%1."/>
      <w:lvlJc w:val="left"/>
      <w:pPr>
        <w:ind w:left="1607" w:firstLine="1247"/>
      </w:pPr>
    </w:lvl>
    <w:lvl w:ilvl="1">
      <w:start w:val="1"/>
      <w:numFmt w:val="lowerLetter"/>
      <w:lvlText w:val="(%2)"/>
      <w:lvlJc w:val="left"/>
      <w:pPr>
        <w:ind w:left="1247" w:firstLine="1814"/>
      </w:pPr>
    </w:lvl>
    <w:lvl w:ilvl="2">
      <w:start w:val="1"/>
      <w:numFmt w:val="lowerRoman"/>
      <w:lvlText w:val="(%3)"/>
      <w:lvlJc w:val="left"/>
      <w:pPr>
        <w:ind w:left="2948" w:firstLine="2381"/>
      </w:pPr>
    </w:lvl>
    <w:lvl w:ilvl="3">
      <w:start w:val="1"/>
      <w:numFmt w:val="lowerLetter"/>
      <w:lvlText w:val="%4."/>
      <w:lvlJc w:val="left"/>
      <w:pPr>
        <w:ind w:left="3515" w:firstLine="2948"/>
      </w:pPr>
    </w:lvl>
    <w:lvl w:ilvl="4">
      <w:start w:val="1"/>
      <w:numFmt w:val="lowerRoman"/>
      <w:lvlText w:val="%5."/>
      <w:lvlJc w:val="left"/>
      <w:pPr>
        <w:ind w:left="4082" w:firstLine="3515"/>
      </w:pPr>
    </w:lvl>
    <w:lvl w:ilvl="5">
      <w:start w:val="1"/>
      <w:numFmt w:val="lowerRoman"/>
      <w:lvlText w:val="%6."/>
      <w:lvlJc w:val="right"/>
      <w:pPr>
        <w:ind w:left="7835" w:firstLine="7655"/>
      </w:pPr>
    </w:lvl>
    <w:lvl w:ilvl="6">
      <w:start w:val="1"/>
      <w:numFmt w:val="decimal"/>
      <w:lvlText w:val="%7."/>
      <w:lvlJc w:val="left"/>
      <w:pPr>
        <w:ind w:left="8555" w:firstLine="8195"/>
      </w:pPr>
    </w:lvl>
    <w:lvl w:ilvl="7">
      <w:start w:val="1"/>
      <w:numFmt w:val="lowerLetter"/>
      <w:lvlText w:val="%8."/>
      <w:lvlJc w:val="left"/>
      <w:pPr>
        <w:ind w:left="9275" w:firstLine="8915"/>
      </w:pPr>
    </w:lvl>
    <w:lvl w:ilvl="8">
      <w:start w:val="1"/>
      <w:numFmt w:val="lowerRoman"/>
      <w:lvlText w:val="%9."/>
      <w:lvlJc w:val="right"/>
      <w:pPr>
        <w:ind w:left="9995" w:firstLine="9815"/>
      </w:pPr>
    </w:lvl>
  </w:abstractNum>
  <w:abstractNum w:abstractNumId="12">
    <w:nsid w:val="216B34B1"/>
    <w:multiLevelType w:val="hybridMultilevel"/>
    <w:tmpl w:val="FAEA705E"/>
    <w:lvl w:ilvl="0" w:tplc="3BEC1904">
      <w:start w:val="1"/>
      <w:numFmt w:val="upperLetter"/>
      <w:lvlText w:val="%1."/>
      <w:lvlJc w:val="left"/>
      <w:pPr>
        <w:ind w:left="1080" w:hanging="360"/>
      </w:pPr>
      <w:rPr>
        <w:rFonts w:ascii="Tahoma" w:eastAsia="MS Mincho"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2A681B"/>
    <w:multiLevelType w:val="hybridMultilevel"/>
    <w:tmpl w:val="BA3282CC"/>
    <w:lvl w:ilvl="0" w:tplc="2FC05C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2E43AD"/>
    <w:multiLevelType w:val="hybridMultilevel"/>
    <w:tmpl w:val="297A8BDC"/>
    <w:lvl w:ilvl="0" w:tplc="388A549A">
      <w:start w:val="1"/>
      <w:numFmt w:val="lowerLetter"/>
      <w:lvlText w:val="(%1)"/>
      <w:lvlJc w:val="left"/>
      <w:pPr>
        <w:ind w:left="933" w:hanging="360"/>
      </w:pPr>
      <w:rPr>
        <w:rFonts w:hint="default"/>
      </w:rPr>
    </w:lvl>
    <w:lvl w:ilvl="1" w:tplc="08090019">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nsid w:val="3B5D0F14"/>
    <w:multiLevelType w:val="hybridMultilevel"/>
    <w:tmpl w:val="267010AA"/>
    <w:lvl w:ilvl="0" w:tplc="388A549A">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7">
    <w:nsid w:val="3B8B14FB"/>
    <w:multiLevelType w:val="hybridMultilevel"/>
    <w:tmpl w:val="0748BDE0"/>
    <w:lvl w:ilvl="0" w:tplc="315E3720">
      <w:start w:val="1"/>
      <w:numFmt w:val="decimal"/>
      <w:lvlText w:val="%1."/>
      <w:lvlJc w:val="left"/>
      <w:pPr>
        <w:ind w:left="933" w:hanging="360"/>
      </w:pPr>
      <w:rPr>
        <w:rFonts w:hint="default"/>
      </w:rPr>
    </w:lvl>
    <w:lvl w:ilvl="1" w:tplc="388A549A">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8">
    <w:nsid w:val="3D7C7DDD"/>
    <w:multiLevelType w:val="multilevel"/>
    <w:tmpl w:val="C5DC33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3C75C51"/>
    <w:multiLevelType w:val="hybridMultilevel"/>
    <w:tmpl w:val="98D2187A"/>
    <w:lvl w:ilvl="0" w:tplc="315E3720">
      <w:start w:val="1"/>
      <w:numFmt w:val="decimal"/>
      <w:lvlText w:val="%1."/>
      <w:lvlJc w:val="left"/>
      <w:pPr>
        <w:ind w:left="933" w:hanging="360"/>
      </w:pPr>
      <w:rPr>
        <w:rFonts w:hint="default"/>
      </w:rPr>
    </w:lvl>
    <w:lvl w:ilvl="1" w:tplc="388A549A">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0">
    <w:nsid w:val="46074119"/>
    <w:multiLevelType w:val="hybridMultilevel"/>
    <w:tmpl w:val="DF7C19DA"/>
    <w:lvl w:ilvl="0" w:tplc="09EC21B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7C81846"/>
    <w:multiLevelType w:val="hybridMultilevel"/>
    <w:tmpl w:val="C882A486"/>
    <w:lvl w:ilvl="0" w:tplc="04090017">
      <w:start w:val="1"/>
      <w:numFmt w:val="lowerLetter"/>
      <w:lvlText w:val="%1)"/>
      <w:lvlJc w:val="left"/>
      <w:pPr>
        <w:ind w:left="933" w:hanging="360"/>
      </w:pPr>
      <w:rPr>
        <w:rFonts w:hint="default"/>
      </w:rPr>
    </w:lvl>
    <w:lvl w:ilvl="1" w:tplc="08090019">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2">
    <w:nsid w:val="4B413401"/>
    <w:multiLevelType w:val="hybridMultilevel"/>
    <w:tmpl w:val="BA606C8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35069"/>
    <w:multiLevelType w:val="hybridMultilevel"/>
    <w:tmpl w:val="4A44618E"/>
    <w:lvl w:ilvl="0" w:tplc="315E3720">
      <w:start w:val="1"/>
      <w:numFmt w:val="decimal"/>
      <w:lvlText w:val="%1."/>
      <w:lvlJc w:val="left"/>
      <w:pPr>
        <w:ind w:left="933" w:hanging="360"/>
      </w:pPr>
      <w:rPr>
        <w:rFonts w:hint="default"/>
      </w:rPr>
    </w:lvl>
    <w:lvl w:ilvl="1" w:tplc="388A549A">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4">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nsid w:val="54C1309F"/>
    <w:multiLevelType w:val="multilevel"/>
    <w:tmpl w:val="89A02EF4"/>
    <w:lvl w:ilvl="0">
      <w:start w:val="1"/>
      <w:numFmt w:val="decimal"/>
      <w:lvlText w:val="%1."/>
      <w:lvlJc w:val="left"/>
      <w:pPr>
        <w:ind w:left="1607" w:firstLine="1247"/>
      </w:pPr>
      <w:rPr>
        <w:rFonts w:hint="default"/>
      </w:rPr>
    </w:lvl>
    <w:lvl w:ilvl="1">
      <w:start w:val="1"/>
      <w:numFmt w:val="lowerLetter"/>
      <w:lvlText w:val="(%2)"/>
      <w:lvlJc w:val="left"/>
      <w:pPr>
        <w:ind w:left="1247" w:firstLine="1814"/>
      </w:pPr>
      <w:rPr>
        <w:rFonts w:hint="default"/>
      </w:rPr>
    </w:lvl>
    <w:lvl w:ilvl="2">
      <w:start w:val="1"/>
      <w:numFmt w:val="lowerRoman"/>
      <w:lvlText w:val="(%3)"/>
      <w:lvlJc w:val="left"/>
      <w:pPr>
        <w:ind w:left="2948" w:firstLine="2381"/>
      </w:pPr>
      <w:rPr>
        <w:rFonts w:hint="default"/>
      </w:rPr>
    </w:lvl>
    <w:lvl w:ilvl="3">
      <w:start w:val="1"/>
      <w:numFmt w:val="lowerLetter"/>
      <w:lvlText w:val="%4."/>
      <w:lvlJc w:val="left"/>
      <w:pPr>
        <w:ind w:left="3515" w:firstLine="2948"/>
      </w:pPr>
      <w:rPr>
        <w:rFonts w:hint="default"/>
      </w:rPr>
    </w:lvl>
    <w:lvl w:ilvl="4">
      <w:start w:val="1"/>
      <w:numFmt w:val="lowerRoman"/>
      <w:lvlText w:val="%5."/>
      <w:lvlJc w:val="left"/>
      <w:pPr>
        <w:ind w:left="4082" w:firstLine="3515"/>
      </w:pPr>
      <w:rPr>
        <w:rFonts w:hint="default"/>
      </w:rPr>
    </w:lvl>
    <w:lvl w:ilvl="5">
      <w:start w:val="1"/>
      <w:numFmt w:val="lowerRoman"/>
      <w:lvlText w:val="%6."/>
      <w:lvlJc w:val="right"/>
      <w:pPr>
        <w:ind w:left="7835" w:firstLine="7655"/>
      </w:pPr>
      <w:rPr>
        <w:rFonts w:hint="default"/>
      </w:rPr>
    </w:lvl>
    <w:lvl w:ilvl="6">
      <w:start w:val="1"/>
      <w:numFmt w:val="decimal"/>
      <w:lvlText w:val="%7."/>
      <w:lvlJc w:val="left"/>
      <w:pPr>
        <w:ind w:left="8555" w:firstLine="8195"/>
      </w:pPr>
      <w:rPr>
        <w:rFonts w:hint="default"/>
      </w:rPr>
    </w:lvl>
    <w:lvl w:ilvl="7">
      <w:start w:val="1"/>
      <w:numFmt w:val="lowerLetter"/>
      <w:lvlText w:val="%8."/>
      <w:lvlJc w:val="left"/>
      <w:pPr>
        <w:ind w:left="9275" w:firstLine="8915"/>
      </w:pPr>
      <w:rPr>
        <w:rFonts w:hint="default"/>
      </w:rPr>
    </w:lvl>
    <w:lvl w:ilvl="8">
      <w:start w:val="1"/>
      <w:numFmt w:val="lowerRoman"/>
      <w:lvlText w:val="%9."/>
      <w:lvlJc w:val="right"/>
      <w:pPr>
        <w:ind w:left="9995" w:firstLine="9815"/>
      </w:pPr>
      <w:rPr>
        <w:rFonts w:hint="default"/>
      </w:rPr>
    </w:lvl>
  </w:abstractNum>
  <w:abstractNum w:abstractNumId="26">
    <w:nsid w:val="56414806"/>
    <w:multiLevelType w:val="hybridMultilevel"/>
    <w:tmpl w:val="05CE3260"/>
    <w:lvl w:ilvl="0" w:tplc="084C8E6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9822D8"/>
    <w:multiLevelType w:val="multilevel"/>
    <w:tmpl w:val="D4F8C204"/>
    <w:lvl w:ilvl="0">
      <w:start w:val="3"/>
      <w:numFmt w:val="upperRoman"/>
      <w:lvlText w:val="%1."/>
      <w:lvlJc w:val="right"/>
      <w:pPr>
        <w:ind w:left="851" w:firstLine="360"/>
      </w:pPr>
      <w:rPr>
        <w:u w:val="none"/>
      </w:rPr>
    </w:lvl>
    <w:lvl w:ilvl="1">
      <w:start w:val="1"/>
      <w:numFmt w:val="upperLetter"/>
      <w:lvlText w:val="%2."/>
      <w:lvlJc w:val="left"/>
      <w:pPr>
        <w:ind w:left="1571" w:firstLine="1080"/>
      </w:pPr>
      <w:rPr>
        <w:u w:val="none"/>
      </w:rPr>
    </w:lvl>
    <w:lvl w:ilvl="2">
      <w:start w:val="1"/>
      <w:numFmt w:val="decimal"/>
      <w:lvlText w:val="%3."/>
      <w:lvlJc w:val="left"/>
      <w:pPr>
        <w:ind w:left="2291" w:firstLine="1800"/>
      </w:pPr>
      <w:rPr>
        <w:u w:val="none"/>
      </w:rPr>
    </w:lvl>
    <w:lvl w:ilvl="3">
      <w:start w:val="1"/>
      <w:numFmt w:val="lowerLetter"/>
      <w:lvlText w:val="%4)"/>
      <w:lvlJc w:val="left"/>
      <w:pPr>
        <w:ind w:left="3011" w:firstLine="2520"/>
      </w:pPr>
      <w:rPr>
        <w:u w:val="none"/>
      </w:rPr>
    </w:lvl>
    <w:lvl w:ilvl="4">
      <w:start w:val="1"/>
      <w:numFmt w:val="decimal"/>
      <w:lvlText w:val="(%5)"/>
      <w:lvlJc w:val="left"/>
      <w:pPr>
        <w:ind w:left="3731" w:firstLine="3240"/>
      </w:pPr>
      <w:rPr>
        <w:u w:val="none"/>
      </w:rPr>
    </w:lvl>
    <w:lvl w:ilvl="5">
      <w:start w:val="1"/>
      <w:numFmt w:val="lowerLetter"/>
      <w:lvlText w:val="(%6)"/>
      <w:lvlJc w:val="left"/>
      <w:pPr>
        <w:ind w:left="4451" w:firstLine="3960"/>
      </w:pPr>
      <w:rPr>
        <w:u w:val="none"/>
      </w:rPr>
    </w:lvl>
    <w:lvl w:ilvl="6">
      <w:start w:val="1"/>
      <w:numFmt w:val="lowerRoman"/>
      <w:lvlText w:val="(%7)"/>
      <w:lvlJc w:val="right"/>
      <w:pPr>
        <w:ind w:left="5171" w:firstLine="4680"/>
      </w:pPr>
      <w:rPr>
        <w:u w:val="none"/>
      </w:rPr>
    </w:lvl>
    <w:lvl w:ilvl="7">
      <w:start w:val="1"/>
      <w:numFmt w:val="lowerLetter"/>
      <w:lvlText w:val="(%8)"/>
      <w:lvlJc w:val="left"/>
      <w:pPr>
        <w:ind w:left="5891" w:firstLine="5400"/>
      </w:pPr>
      <w:rPr>
        <w:u w:val="none"/>
      </w:rPr>
    </w:lvl>
    <w:lvl w:ilvl="8">
      <w:start w:val="1"/>
      <w:numFmt w:val="lowerRoman"/>
      <w:lvlText w:val="(%9)"/>
      <w:lvlJc w:val="right"/>
      <w:pPr>
        <w:ind w:left="6611" w:firstLine="6120"/>
      </w:pPr>
      <w:rPr>
        <w:u w:val="none"/>
      </w:rPr>
    </w:lvl>
  </w:abstractNum>
  <w:abstractNum w:abstractNumId="28">
    <w:nsid w:val="5D635D55"/>
    <w:multiLevelType w:val="hybridMultilevel"/>
    <w:tmpl w:val="BD90DB76"/>
    <w:lvl w:ilvl="0" w:tplc="0809001B">
      <w:start w:val="1"/>
      <w:numFmt w:val="lowerRoman"/>
      <w:lvlText w:val="%1."/>
      <w:lvlJc w:val="right"/>
      <w:pPr>
        <w:ind w:left="72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EF61E0"/>
    <w:multiLevelType w:val="hybridMultilevel"/>
    <w:tmpl w:val="43C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752A60"/>
    <w:multiLevelType w:val="hybridMultilevel"/>
    <w:tmpl w:val="239098E0"/>
    <w:lvl w:ilvl="0" w:tplc="3A5C3DF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C617F"/>
    <w:multiLevelType w:val="multilevel"/>
    <w:tmpl w:val="00FE5BB8"/>
    <w:lvl w:ilvl="0">
      <w:start w:val="1"/>
      <w:numFmt w:val="decimal"/>
      <w:lvlText w:val="%1."/>
      <w:lvlJc w:val="left"/>
      <w:pPr>
        <w:ind w:left="1607" w:firstLine="1247"/>
      </w:pPr>
    </w:lvl>
    <w:lvl w:ilvl="1">
      <w:start w:val="1"/>
      <w:numFmt w:val="lowerLetter"/>
      <w:lvlText w:val="(%2)"/>
      <w:lvlJc w:val="left"/>
      <w:pPr>
        <w:ind w:left="1247" w:firstLine="1814"/>
      </w:pPr>
    </w:lvl>
    <w:lvl w:ilvl="2">
      <w:start w:val="1"/>
      <w:numFmt w:val="lowerRoman"/>
      <w:lvlText w:val="(%3)"/>
      <w:lvlJc w:val="left"/>
      <w:pPr>
        <w:ind w:left="2948" w:firstLine="2381"/>
      </w:pPr>
    </w:lvl>
    <w:lvl w:ilvl="3">
      <w:start w:val="1"/>
      <w:numFmt w:val="lowerLetter"/>
      <w:lvlText w:val="%4."/>
      <w:lvlJc w:val="left"/>
      <w:pPr>
        <w:ind w:left="3515" w:firstLine="2948"/>
      </w:pPr>
    </w:lvl>
    <w:lvl w:ilvl="4">
      <w:start w:val="1"/>
      <w:numFmt w:val="lowerRoman"/>
      <w:lvlText w:val="%5."/>
      <w:lvlJc w:val="left"/>
      <w:pPr>
        <w:ind w:left="4082" w:firstLine="3515"/>
      </w:pPr>
    </w:lvl>
    <w:lvl w:ilvl="5">
      <w:start w:val="1"/>
      <w:numFmt w:val="lowerRoman"/>
      <w:lvlText w:val="%6."/>
      <w:lvlJc w:val="right"/>
      <w:pPr>
        <w:ind w:left="7835" w:firstLine="7655"/>
      </w:pPr>
    </w:lvl>
    <w:lvl w:ilvl="6">
      <w:start w:val="1"/>
      <w:numFmt w:val="decimal"/>
      <w:lvlText w:val="%7."/>
      <w:lvlJc w:val="left"/>
      <w:pPr>
        <w:ind w:left="8555" w:firstLine="8195"/>
      </w:pPr>
    </w:lvl>
    <w:lvl w:ilvl="7">
      <w:start w:val="1"/>
      <w:numFmt w:val="lowerLetter"/>
      <w:lvlText w:val="%8."/>
      <w:lvlJc w:val="left"/>
      <w:pPr>
        <w:ind w:left="9275" w:firstLine="8915"/>
      </w:pPr>
    </w:lvl>
    <w:lvl w:ilvl="8">
      <w:start w:val="1"/>
      <w:numFmt w:val="lowerRoman"/>
      <w:lvlText w:val="%9."/>
      <w:lvlJc w:val="right"/>
      <w:pPr>
        <w:ind w:left="9995" w:firstLine="9815"/>
      </w:pPr>
    </w:lvl>
  </w:abstractNum>
  <w:abstractNum w:abstractNumId="32">
    <w:nsid w:val="6CCA4957"/>
    <w:multiLevelType w:val="hybridMultilevel"/>
    <w:tmpl w:val="47003F90"/>
    <w:lvl w:ilvl="0" w:tplc="0809000F">
      <w:start w:val="1"/>
      <w:numFmt w:val="decimal"/>
      <w:lvlText w:val="%1."/>
      <w:lvlJc w:val="left"/>
      <w:pPr>
        <w:ind w:left="1967" w:hanging="360"/>
      </w:pPr>
    </w:lvl>
    <w:lvl w:ilvl="1" w:tplc="388A549A">
      <w:start w:val="1"/>
      <w:numFmt w:val="lowerLetter"/>
      <w:lvlText w:val="(%2)"/>
      <w:lvlJc w:val="left"/>
      <w:pPr>
        <w:ind w:left="4046"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3">
    <w:nsid w:val="75117113"/>
    <w:multiLevelType w:val="hybridMultilevel"/>
    <w:tmpl w:val="13006192"/>
    <w:lvl w:ilvl="0" w:tplc="5358D7C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C1376F"/>
    <w:multiLevelType w:val="hybridMultilevel"/>
    <w:tmpl w:val="0ADCD64A"/>
    <w:lvl w:ilvl="0" w:tplc="C3E4AB6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62126C9"/>
    <w:multiLevelType w:val="hybridMultilevel"/>
    <w:tmpl w:val="CC08EDDE"/>
    <w:lvl w:ilvl="0" w:tplc="0670575A">
      <w:start w:val="1"/>
      <w:numFmt w:val="upperRoman"/>
      <w:lvlText w:val="%1."/>
      <w:lvlJc w:val="left"/>
      <w:pPr>
        <w:tabs>
          <w:tab w:val="num" w:pos="1080"/>
        </w:tabs>
        <w:ind w:left="1080" w:hanging="720"/>
      </w:pPr>
      <w:rPr>
        <w:rFonts w:hint="default"/>
      </w:rPr>
    </w:lvl>
    <w:lvl w:ilvl="1" w:tplc="3092A726">
      <w:start w:val="1"/>
      <w:numFmt w:val="decimal"/>
      <w:lvlText w:val="%2."/>
      <w:lvlJc w:val="left"/>
      <w:pPr>
        <w:tabs>
          <w:tab w:val="num" w:pos="900"/>
        </w:tabs>
        <w:ind w:left="900" w:hanging="360"/>
      </w:pPr>
      <w:rPr>
        <w:rFonts w:ascii="Calibri" w:hAnsi="Calibri" w:cs="Calibri" w:hint="default"/>
        <w:b w:val="0"/>
        <w:i w:val="0"/>
      </w:rPr>
    </w:lvl>
    <w:lvl w:ilvl="2" w:tplc="0409001B">
      <w:start w:val="1"/>
      <w:numFmt w:val="lowerRoman"/>
      <w:lvlText w:val="%3."/>
      <w:lvlJc w:val="right"/>
      <w:pPr>
        <w:tabs>
          <w:tab w:val="num" w:pos="2160"/>
        </w:tabs>
        <w:ind w:left="2160" w:hanging="180"/>
      </w:pPr>
    </w:lvl>
    <w:lvl w:ilvl="3" w:tplc="ACA23092">
      <w:start w:val="14"/>
      <w:numFmt w:val="decimal"/>
      <w:lvlText w:val="%4"/>
      <w:lvlJc w:val="left"/>
      <w:pPr>
        <w:ind w:left="720" w:hanging="360"/>
      </w:pPr>
      <w:rPr>
        <w:rFonts w:hint="default"/>
        <w:i w:val="0"/>
      </w:rPr>
    </w:lvl>
    <w:lvl w:ilvl="4" w:tplc="3092A726">
      <w:start w:val="1"/>
      <w:numFmt w:val="decimal"/>
      <w:lvlText w:val="%5."/>
      <w:lvlJc w:val="left"/>
      <w:pPr>
        <w:ind w:left="1080" w:hanging="360"/>
      </w:pPr>
      <w:rPr>
        <w:rFonts w:ascii="Calibri" w:hAnsi="Calibri" w:cs="Calibri" w:hint="default"/>
        <w:b w:val="0"/>
        <w:i w:val="0"/>
      </w:rPr>
    </w:lvl>
    <w:lvl w:ilvl="5" w:tplc="0409001B">
      <w:start w:val="1"/>
      <w:numFmt w:val="lowerRoman"/>
      <w:lvlText w:val="%6."/>
      <w:lvlJc w:val="right"/>
      <w:pPr>
        <w:tabs>
          <w:tab w:val="num" w:pos="630"/>
        </w:tabs>
        <w:ind w:left="630" w:hanging="180"/>
      </w:pPr>
    </w:lvl>
    <w:lvl w:ilvl="6" w:tplc="20D04ECA">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0D1EE1"/>
    <w:multiLevelType w:val="hybridMultilevel"/>
    <w:tmpl w:val="C40A5AA6"/>
    <w:lvl w:ilvl="0" w:tplc="315E3720">
      <w:start w:val="1"/>
      <w:numFmt w:val="decimal"/>
      <w:lvlText w:val="%1."/>
      <w:lvlJc w:val="left"/>
      <w:pPr>
        <w:ind w:left="933" w:hanging="360"/>
      </w:pPr>
      <w:rPr>
        <w:rFonts w:hint="default"/>
      </w:rPr>
    </w:lvl>
    <w:lvl w:ilvl="1" w:tplc="08090019">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7">
    <w:nsid w:val="7C2B44DF"/>
    <w:multiLevelType w:val="hybridMultilevel"/>
    <w:tmpl w:val="C5D4D93A"/>
    <w:lvl w:ilvl="0" w:tplc="077EDA1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7269E"/>
    <w:multiLevelType w:val="hybridMultilevel"/>
    <w:tmpl w:val="7E5E6C14"/>
    <w:lvl w:ilvl="0" w:tplc="315E3720">
      <w:start w:val="1"/>
      <w:numFmt w:val="decimal"/>
      <w:lvlText w:val="%1."/>
      <w:lvlJc w:val="left"/>
      <w:pPr>
        <w:ind w:left="933" w:hanging="360"/>
      </w:pPr>
      <w:rPr>
        <w:rFonts w:hint="default"/>
      </w:rPr>
    </w:lvl>
    <w:lvl w:ilvl="1" w:tplc="04090017">
      <w:start w:val="1"/>
      <w:numFmt w:val="lowerLetter"/>
      <w:lvlText w:val="%2)"/>
      <w:lvlJc w:val="left"/>
      <w:pPr>
        <w:ind w:left="1653" w:hanging="360"/>
      </w:pPr>
      <w:rPr>
        <w:rFonts w:hint="default"/>
      </w:r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9">
    <w:nsid w:val="7D75515B"/>
    <w:multiLevelType w:val="hybridMultilevel"/>
    <w:tmpl w:val="B544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4"/>
  </w:num>
  <w:num w:numId="4">
    <w:abstractNumId w:val="24"/>
  </w:num>
  <w:num w:numId="5">
    <w:abstractNumId w:val="24"/>
  </w:num>
  <w:num w:numId="6">
    <w:abstractNumId w:val="24"/>
  </w:num>
  <w:num w:numId="7">
    <w:abstractNumId w:val="24"/>
  </w:num>
  <w:num w:numId="8">
    <w:abstractNumId w:val="30"/>
  </w:num>
  <w:num w:numId="9">
    <w:abstractNumId w:val="37"/>
  </w:num>
  <w:num w:numId="10">
    <w:abstractNumId w:val="28"/>
  </w:num>
  <w:num w:numId="11">
    <w:abstractNumId w:val="34"/>
  </w:num>
  <w:num w:numId="12">
    <w:abstractNumId w:val="9"/>
  </w:num>
  <w:num w:numId="13">
    <w:abstractNumId w:val="26"/>
  </w:num>
  <w:num w:numId="14">
    <w:abstractNumId w:val="39"/>
  </w:num>
  <w:num w:numId="15">
    <w:abstractNumId w:val="29"/>
  </w:num>
  <w:num w:numId="16">
    <w:abstractNumId w:val="12"/>
  </w:num>
  <w:num w:numId="17">
    <w:abstractNumId w:val="13"/>
  </w:num>
  <w:num w:numId="18">
    <w:abstractNumId w:val="33"/>
  </w:num>
  <w:num w:numId="19">
    <w:abstractNumId w:val="32"/>
  </w:num>
  <w:num w:numId="20">
    <w:abstractNumId w:val="0"/>
  </w:num>
  <w:num w:numId="21">
    <w:abstractNumId w:val="3"/>
  </w:num>
  <w:num w:numId="22">
    <w:abstractNumId w:val="1"/>
  </w:num>
  <w:num w:numId="23">
    <w:abstractNumId w:val="10"/>
  </w:num>
  <w:num w:numId="24">
    <w:abstractNumId w:val="4"/>
  </w:num>
  <w:num w:numId="25">
    <w:abstractNumId w:val="16"/>
  </w:num>
  <w:num w:numId="26">
    <w:abstractNumId w:val="18"/>
  </w:num>
  <w:num w:numId="27">
    <w:abstractNumId w:val="27"/>
  </w:num>
  <w:num w:numId="28">
    <w:abstractNumId w:val="25"/>
  </w:num>
  <w:num w:numId="29">
    <w:abstractNumId w:val="8"/>
  </w:num>
  <w:num w:numId="30">
    <w:abstractNumId w:val="11"/>
  </w:num>
  <w:num w:numId="31">
    <w:abstractNumId w:val="31"/>
  </w:num>
  <w:num w:numId="32">
    <w:abstractNumId w:val="35"/>
  </w:num>
  <w:num w:numId="33">
    <w:abstractNumId w:val="22"/>
  </w:num>
  <w:num w:numId="34">
    <w:abstractNumId w:val="36"/>
  </w:num>
  <w:num w:numId="35">
    <w:abstractNumId w:val="7"/>
  </w:num>
  <w:num w:numId="36">
    <w:abstractNumId w:val="17"/>
  </w:num>
  <w:num w:numId="37">
    <w:abstractNumId w:val="14"/>
  </w:num>
  <w:num w:numId="38">
    <w:abstractNumId w:val="23"/>
  </w:num>
  <w:num w:numId="39">
    <w:abstractNumId w:val="19"/>
  </w:num>
  <w:num w:numId="40">
    <w:abstractNumId w:val="21"/>
  </w:num>
  <w:num w:numId="41">
    <w:abstractNumId w:val="38"/>
  </w:num>
  <w:num w:numId="42">
    <w:abstractNumId w:val="2"/>
  </w:num>
  <w:num w:numId="43">
    <w:abstractNumId w:val="5"/>
  </w:num>
  <w:num w:numId="4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PH"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4"/>
    <w:rsid w:val="00002A98"/>
    <w:rsid w:val="000056FF"/>
    <w:rsid w:val="000149E6"/>
    <w:rsid w:val="00015B25"/>
    <w:rsid w:val="000161DE"/>
    <w:rsid w:val="00020F24"/>
    <w:rsid w:val="000247B0"/>
    <w:rsid w:val="00026997"/>
    <w:rsid w:val="00031A4C"/>
    <w:rsid w:val="00033E0B"/>
    <w:rsid w:val="00035EDE"/>
    <w:rsid w:val="00042004"/>
    <w:rsid w:val="00042272"/>
    <w:rsid w:val="000509B4"/>
    <w:rsid w:val="00052DE2"/>
    <w:rsid w:val="00053882"/>
    <w:rsid w:val="0005627C"/>
    <w:rsid w:val="0006035B"/>
    <w:rsid w:val="000629C2"/>
    <w:rsid w:val="00063EE3"/>
    <w:rsid w:val="00066489"/>
    <w:rsid w:val="00071169"/>
    <w:rsid w:val="00071886"/>
    <w:rsid w:val="000736D3"/>
    <w:rsid w:val="000742BC"/>
    <w:rsid w:val="0007550A"/>
    <w:rsid w:val="00082A0C"/>
    <w:rsid w:val="00083504"/>
    <w:rsid w:val="0008440D"/>
    <w:rsid w:val="00093014"/>
    <w:rsid w:val="0009640C"/>
    <w:rsid w:val="00097204"/>
    <w:rsid w:val="000B22A2"/>
    <w:rsid w:val="000C27BF"/>
    <w:rsid w:val="000C2A52"/>
    <w:rsid w:val="000C5192"/>
    <w:rsid w:val="000D29C4"/>
    <w:rsid w:val="000D33C0"/>
    <w:rsid w:val="000D6941"/>
    <w:rsid w:val="000D794D"/>
    <w:rsid w:val="000E2D21"/>
    <w:rsid w:val="000E75FB"/>
    <w:rsid w:val="000F0B32"/>
    <w:rsid w:val="00102175"/>
    <w:rsid w:val="00107633"/>
    <w:rsid w:val="0010779B"/>
    <w:rsid w:val="00111E62"/>
    <w:rsid w:val="0011470D"/>
    <w:rsid w:val="001201B1"/>
    <w:rsid w:val="001202E3"/>
    <w:rsid w:val="00123699"/>
    <w:rsid w:val="001250AC"/>
    <w:rsid w:val="00126083"/>
    <w:rsid w:val="00126887"/>
    <w:rsid w:val="0012705B"/>
    <w:rsid w:val="0013059D"/>
    <w:rsid w:val="00140081"/>
    <w:rsid w:val="00140E01"/>
    <w:rsid w:val="00141A55"/>
    <w:rsid w:val="001422A4"/>
    <w:rsid w:val="001446A3"/>
    <w:rsid w:val="001540DB"/>
    <w:rsid w:val="00155395"/>
    <w:rsid w:val="00160C73"/>
    <w:rsid w:val="00160D74"/>
    <w:rsid w:val="001652F1"/>
    <w:rsid w:val="00165FCE"/>
    <w:rsid w:val="00167391"/>
    <w:rsid w:val="00167D02"/>
    <w:rsid w:val="001763A8"/>
    <w:rsid w:val="001763D0"/>
    <w:rsid w:val="00176F7A"/>
    <w:rsid w:val="001812D8"/>
    <w:rsid w:val="00181EC8"/>
    <w:rsid w:val="00184349"/>
    <w:rsid w:val="001844CA"/>
    <w:rsid w:val="00195F33"/>
    <w:rsid w:val="00197954"/>
    <w:rsid w:val="001A1859"/>
    <w:rsid w:val="001A2A33"/>
    <w:rsid w:val="001A30A3"/>
    <w:rsid w:val="001A6132"/>
    <w:rsid w:val="001B0D25"/>
    <w:rsid w:val="001B1617"/>
    <w:rsid w:val="001B504B"/>
    <w:rsid w:val="001B5067"/>
    <w:rsid w:val="001B6289"/>
    <w:rsid w:val="001C0912"/>
    <w:rsid w:val="001C0E4A"/>
    <w:rsid w:val="001C47C2"/>
    <w:rsid w:val="001C6986"/>
    <w:rsid w:val="001D3874"/>
    <w:rsid w:val="001D7C60"/>
    <w:rsid w:val="001D7E75"/>
    <w:rsid w:val="001E0D4D"/>
    <w:rsid w:val="001E56D2"/>
    <w:rsid w:val="001E7D56"/>
    <w:rsid w:val="001F664C"/>
    <w:rsid w:val="001F75DE"/>
    <w:rsid w:val="00200D58"/>
    <w:rsid w:val="002013BE"/>
    <w:rsid w:val="002063A4"/>
    <w:rsid w:val="002076BB"/>
    <w:rsid w:val="0021145B"/>
    <w:rsid w:val="00212B0F"/>
    <w:rsid w:val="0021796F"/>
    <w:rsid w:val="00224274"/>
    <w:rsid w:val="0022685F"/>
    <w:rsid w:val="00236099"/>
    <w:rsid w:val="00241578"/>
    <w:rsid w:val="002419E9"/>
    <w:rsid w:val="00243D36"/>
    <w:rsid w:val="002448AE"/>
    <w:rsid w:val="00247707"/>
    <w:rsid w:val="002509A7"/>
    <w:rsid w:val="00251750"/>
    <w:rsid w:val="00252E90"/>
    <w:rsid w:val="0026018E"/>
    <w:rsid w:val="002610CD"/>
    <w:rsid w:val="00261651"/>
    <w:rsid w:val="002636EA"/>
    <w:rsid w:val="00263C75"/>
    <w:rsid w:val="002640FE"/>
    <w:rsid w:val="002645F7"/>
    <w:rsid w:val="00265346"/>
    <w:rsid w:val="00265551"/>
    <w:rsid w:val="002678B6"/>
    <w:rsid w:val="00271A43"/>
    <w:rsid w:val="002725E5"/>
    <w:rsid w:val="00286421"/>
    <w:rsid w:val="00286740"/>
    <w:rsid w:val="002922E7"/>
    <w:rsid w:val="002929D8"/>
    <w:rsid w:val="002961B3"/>
    <w:rsid w:val="002A0022"/>
    <w:rsid w:val="002A0031"/>
    <w:rsid w:val="002A237D"/>
    <w:rsid w:val="002A4C53"/>
    <w:rsid w:val="002B0135"/>
    <w:rsid w:val="002B0672"/>
    <w:rsid w:val="002B138C"/>
    <w:rsid w:val="002B1742"/>
    <w:rsid w:val="002B247F"/>
    <w:rsid w:val="002C0DDB"/>
    <w:rsid w:val="002C145D"/>
    <w:rsid w:val="002C2C3E"/>
    <w:rsid w:val="002C315C"/>
    <w:rsid w:val="002C4C33"/>
    <w:rsid w:val="002C533E"/>
    <w:rsid w:val="002C6B0D"/>
    <w:rsid w:val="002D027F"/>
    <w:rsid w:val="002D138C"/>
    <w:rsid w:val="002D18FF"/>
    <w:rsid w:val="002D6345"/>
    <w:rsid w:val="002D6B2F"/>
    <w:rsid w:val="002D7A85"/>
    <w:rsid w:val="002D7B60"/>
    <w:rsid w:val="002E2E2F"/>
    <w:rsid w:val="002E5225"/>
    <w:rsid w:val="002F4761"/>
    <w:rsid w:val="002F48E6"/>
    <w:rsid w:val="002F5C79"/>
    <w:rsid w:val="003019E2"/>
    <w:rsid w:val="003050A3"/>
    <w:rsid w:val="00307663"/>
    <w:rsid w:val="003076B9"/>
    <w:rsid w:val="0031413F"/>
    <w:rsid w:val="003148BB"/>
    <w:rsid w:val="00315521"/>
    <w:rsid w:val="003167FA"/>
    <w:rsid w:val="00317976"/>
    <w:rsid w:val="00321A1F"/>
    <w:rsid w:val="00337A5B"/>
    <w:rsid w:val="00337EB9"/>
    <w:rsid w:val="00340EEA"/>
    <w:rsid w:val="00342F88"/>
    <w:rsid w:val="0034521E"/>
    <w:rsid w:val="00354C92"/>
    <w:rsid w:val="00355EA9"/>
    <w:rsid w:val="003578DE"/>
    <w:rsid w:val="00362BAF"/>
    <w:rsid w:val="00363561"/>
    <w:rsid w:val="003652F6"/>
    <w:rsid w:val="0036570E"/>
    <w:rsid w:val="00380AB5"/>
    <w:rsid w:val="00382497"/>
    <w:rsid w:val="0038446B"/>
    <w:rsid w:val="00386320"/>
    <w:rsid w:val="00390FFD"/>
    <w:rsid w:val="00392D30"/>
    <w:rsid w:val="00393472"/>
    <w:rsid w:val="00396257"/>
    <w:rsid w:val="00397389"/>
    <w:rsid w:val="00397EB8"/>
    <w:rsid w:val="003A0EAB"/>
    <w:rsid w:val="003A4FD0"/>
    <w:rsid w:val="003A69D1"/>
    <w:rsid w:val="003A710A"/>
    <w:rsid w:val="003A759E"/>
    <w:rsid w:val="003A7705"/>
    <w:rsid w:val="003A77F1"/>
    <w:rsid w:val="003B0C39"/>
    <w:rsid w:val="003B1545"/>
    <w:rsid w:val="003B5CEC"/>
    <w:rsid w:val="003C15AE"/>
    <w:rsid w:val="003C409D"/>
    <w:rsid w:val="003C5BA6"/>
    <w:rsid w:val="003D2306"/>
    <w:rsid w:val="003E0079"/>
    <w:rsid w:val="003E1CCD"/>
    <w:rsid w:val="003E4350"/>
    <w:rsid w:val="003F0E85"/>
    <w:rsid w:val="003F2D2D"/>
    <w:rsid w:val="00400B47"/>
    <w:rsid w:val="00400B70"/>
    <w:rsid w:val="004101E1"/>
    <w:rsid w:val="00410AB1"/>
    <w:rsid w:val="00410C55"/>
    <w:rsid w:val="004152C7"/>
    <w:rsid w:val="00416854"/>
    <w:rsid w:val="00417725"/>
    <w:rsid w:val="004323D1"/>
    <w:rsid w:val="00432EB6"/>
    <w:rsid w:val="00437F26"/>
    <w:rsid w:val="00440E1F"/>
    <w:rsid w:val="00444097"/>
    <w:rsid w:val="00445487"/>
    <w:rsid w:val="0045007E"/>
    <w:rsid w:val="0045061E"/>
    <w:rsid w:val="0045325A"/>
    <w:rsid w:val="00454769"/>
    <w:rsid w:val="00454874"/>
    <w:rsid w:val="004548EA"/>
    <w:rsid w:val="00456F3B"/>
    <w:rsid w:val="004622CA"/>
    <w:rsid w:val="00466991"/>
    <w:rsid w:val="0047064C"/>
    <w:rsid w:val="00474292"/>
    <w:rsid w:val="00476796"/>
    <w:rsid w:val="00490246"/>
    <w:rsid w:val="004949A4"/>
    <w:rsid w:val="004A09A2"/>
    <w:rsid w:val="004A42E1"/>
    <w:rsid w:val="004A6852"/>
    <w:rsid w:val="004B162C"/>
    <w:rsid w:val="004B1671"/>
    <w:rsid w:val="004C3DBE"/>
    <w:rsid w:val="004C5C96"/>
    <w:rsid w:val="004D06A4"/>
    <w:rsid w:val="004D4272"/>
    <w:rsid w:val="004D5297"/>
    <w:rsid w:val="004D52B4"/>
    <w:rsid w:val="004E2494"/>
    <w:rsid w:val="004E31E7"/>
    <w:rsid w:val="004F1A81"/>
    <w:rsid w:val="004F2242"/>
    <w:rsid w:val="004F3C27"/>
    <w:rsid w:val="004F552A"/>
    <w:rsid w:val="004F5555"/>
    <w:rsid w:val="004F70C0"/>
    <w:rsid w:val="005063E2"/>
    <w:rsid w:val="00506929"/>
    <w:rsid w:val="00507A1E"/>
    <w:rsid w:val="00507B4F"/>
    <w:rsid w:val="00514E07"/>
    <w:rsid w:val="00515B07"/>
    <w:rsid w:val="005218D9"/>
    <w:rsid w:val="00524CE1"/>
    <w:rsid w:val="00527801"/>
    <w:rsid w:val="0052788B"/>
    <w:rsid w:val="0053312E"/>
    <w:rsid w:val="00536186"/>
    <w:rsid w:val="00540219"/>
    <w:rsid w:val="00544CBB"/>
    <w:rsid w:val="00551F8D"/>
    <w:rsid w:val="0055249A"/>
    <w:rsid w:val="00553429"/>
    <w:rsid w:val="0055638F"/>
    <w:rsid w:val="00561F50"/>
    <w:rsid w:val="005635F6"/>
    <w:rsid w:val="005650F4"/>
    <w:rsid w:val="005661FC"/>
    <w:rsid w:val="00566A1E"/>
    <w:rsid w:val="0057282A"/>
    <w:rsid w:val="0057315F"/>
    <w:rsid w:val="005752F1"/>
    <w:rsid w:val="00576104"/>
    <w:rsid w:val="00580A24"/>
    <w:rsid w:val="00581043"/>
    <w:rsid w:val="00582538"/>
    <w:rsid w:val="0058287F"/>
    <w:rsid w:val="0059169A"/>
    <w:rsid w:val="005919AB"/>
    <w:rsid w:val="00594678"/>
    <w:rsid w:val="005A18F6"/>
    <w:rsid w:val="005A6F7E"/>
    <w:rsid w:val="005B0C45"/>
    <w:rsid w:val="005B3626"/>
    <w:rsid w:val="005B6526"/>
    <w:rsid w:val="005C137C"/>
    <w:rsid w:val="005C2541"/>
    <w:rsid w:val="005C37F6"/>
    <w:rsid w:val="005C67C8"/>
    <w:rsid w:val="005D0249"/>
    <w:rsid w:val="005D6E8C"/>
    <w:rsid w:val="005E19BA"/>
    <w:rsid w:val="005E415F"/>
    <w:rsid w:val="005F0C62"/>
    <w:rsid w:val="005F100C"/>
    <w:rsid w:val="005F68DA"/>
    <w:rsid w:val="00606D86"/>
    <w:rsid w:val="0060773B"/>
    <w:rsid w:val="00613FCA"/>
    <w:rsid w:val="006157B5"/>
    <w:rsid w:val="0061663C"/>
    <w:rsid w:val="00617710"/>
    <w:rsid w:val="00624CFF"/>
    <w:rsid w:val="00626FC6"/>
    <w:rsid w:val="006277A3"/>
    <w:rsid w:val="006303B4"/>
    <w:rsid w:val="00633D3D"/>
    <w:rsid w:val="0063780E"/>
    <w:rsid w:val="00641703"/>
    <w:rsid w:val="006431A6"/>
    <w:rsid w:val="00643BA3"/>
    <w:rsid w:val="0064463E"/>
    <w:rsid w:val="006459F6"/>
    <w:rsid w:val="006501AD"/>
    <w:rsid w:val="00651BFA"/>
    <w:rsid w:val="00654475"/>
    <w:rsid w:val="006558DE"/>
    <w:rsid w:val="0066018A"/>
    <w:rsid w:val="00665A4B"/>
    <w:rsid w:val="006738AE"/>
    <w:rsid w:val="00674FA2"/>
    <w:rsid w:val="00684920"/>
    <w:rsid w:val="00686198"/>
    <w:rsid w:val="00686CB4"/>
    <w:rsid w:val="00686D11"/>
    <w:rsid w:val="006905C0"/>
    <w:rsid w:val="0069126A"/>
    <w:rsid w:val="00692E2A"/>
    <w:rsid w:val="006937E8"/>
    <w:rsid w:val="006958BA"/>
    <w:rsid w:val="006A76F2"/>
    <w:rsid w:val="006B2492"/>
    <w:rsid w:val="006B6D44"/>
    <w:rsid w:val="006C1EFC"/>
    <w:rsid w:val="006C2400"/>
    <w:rsid w:val="006D7EFB"/>
    <w:rsid w:val="006E6672"/>
    <w:rsid w:val="006E6722"/>
    <w:rsid w:val="006F0424"/>
    <w:rsid w:val="007027B9"/>
    <w:rsid w:val="00705704"/>
    <w:rsid w:val="00710BF6"/>
    <w:rsid w:val="007137C8"/>
    <w:rsid w:val="00715E88"/>
    <w:rsid w:val="00716A76"/>
    <w:rsid w:val="00716C6F"/>
    <w:rsid w:val="00716FAD"/>
    <w:rsid w:val="00721018"/>
    <w:rsid w:val="00727B64"/>
    <w:rsid w:val="00732D04"/>
    <w:rsid w:val="00733626"/>
    <w:rsid w:val="00734CAA"/>
    <w:rsid w:val="00742955"/>
    <w:rsid w:val="0075533C"/>
    <w:rsid w:val="007562B3"/>
    <w:rsid w:val="00757581"/>
    <w:rsid w:val="007611A0"/>
    <w:rsid w:val="00761E8B"/>
    <w:rsid w:val="00767FA6"/>
    <w:rsid w:val="007714B8"/>
    <w:rsid w:val="00772B81"/>
    <w:rsid w:val="00775BA1"/>
    <w:rsid w:val="00781961"/>
    <w:rsid w:val="00783D68"/>
    <w:rsid w:val="00796D3F"/>
    <w:rsid w:val="007A1683"/>
    <w:rsid w:val="007A26F9"/>
    <w:rsid w:val="007A4C92"/>
    <w:rsid w:val="007A5A4D"/>
    <w:rsid w:val="007A5B67"/>
    <w:rsid w:val="007A5C12"/>
    <w:rsid w:val="007A7CB0"/>
    <w:rsid w:val="007B020F"/>
    <w:rsid w:val="007B4A87"/>
    <w:rsid w:val="007B68A3"/>
    <w:rsid w:val="007B6F86"/>
    <w:rsid w:val="007B6FB1"/>
    <w:rsid w:val="007B77D2"/>
    <w:rsid w:val="007C0D6D"/>
    <w:rsid w:val="007C1986"/>
    <w:rsid w:val="007C2541"/>
    <w:rsid w:val="007C4F8B"/>
    <w:rsid w:val="007D34C6"/>
    <w:rsid w:val="007D5CC5"/>
    <w:rsid w:val="007D66A8"/>
    <w:rsid w:val="007D79C6"/>
    <w:rsid w:val="007E003F"/>
    <w:rsid w:val="007E0158"/>
    <w:rsid w:val="007E5890"/>
    <w:rsid w:val="007E6FFE"/>
    <w:rsid w:val="007E72E4"/>
    <w:rsid w:val="007F47BA"/>
    <w:rsid w:val="00804823"/>
    <w:rsid w:val="00804848"/>
    <w:rsid w:val="008164F2"/>
    <w:rsid w:val="00820D10"/>
    <w:rsid w:val="00821395"/>
    <w:rsid w:val="00821975"/>
    <w:rsid w:val="0082334E"/>
    <w:rsid w:val="00826B5A"/>
    <w:rsid w:val="00830E26"/>
    <w:rsid w:val="00831DAC"/>
    <w:rsid w:val="0083568D"/>
    <w:rsid w:val="0084023B"/>
    <w:rsid w:val="00843576"/>
    <w:rsid w:val="00843B64"/>
    <w:rsid w:val="008478FC"/>
    <w:rsid w:val="008554C7"/>
    <w:rsid w:val="00856C70"/>
    <w:rsid w:val="00867BFF"/>
    <w:rsid w:val="00883ED2"/>
    <w:rsid w:val="0088480A"/>
    <w:rsid w:val="0088757A"/>
    <w:rsid w:val="0089412A"/>
    <w:rsid w:val="00894F67"/>
    <w:rsid w:val="008957DD"/>
    <w:rsid w:val="00897D98"/>
    <w:rsid w:val="008A3B19"/>
    <w:rsid w:val="008A6DF2"/>
    <w:rsid w:val="008A7807"/>
    <w:rsid w:val="008B4CC9"/>
    <w:rsid w:val="008C2686"/>
    <w:rsid w:val="008C7EBD"/>
    <w:rsid w:val="008D7C99"/>
    <w:rsid w:val="008D7CBA"/>
    <w:rsid w:val="008E0FCB"/>
    <w:rsid w:val="008F12D6"/>
    <w:rsid w:val="008F29FF"/>
    <w:rsid w:val="008F591E"/>
    <w:rsid w:val="008F61A9"/>
    <w:rsid w:val="00910E60"/>
    <w:rsid w:val="0091406E"/>
    <w:rsid w:val="0091435D"/>
    <w:rsid w:val="0092178C"/>
    <w:rsid w:val="009255C1"/>
    <w:rsid w:val="00926A98"/>
    <w:rsid w:val="00930B88"/>
    <w:rsid w:val="00933939"/>
    <w:rsid w:val="009349CC"/>
    <w:rsid w:val="00937030"/>
    <w:rsid w:val="00937CBC"/>
    <w:rsid w:val="009400A0"/>
    <w:rsid w:val="00940DCC"/>
    <w:rsid w:val="0094179A"/>
    <w:rsid w:val="00941F6D"/>
    <w:rsid w:val="0094459E"/>
    <w:rsid w:val="00944DBC"/>
    <w:rsid w:val="00950977"/>
    <w:rsid w:val="00951A7B"/>
    <w:rsid w:val="009529DB"/>
    <w:rsid w:val="00952FA3"/>
    <w:rsid w:val="009564A6"/>
    <w:rsid w:val="00956CEE"/>
    <w:rsid w:val="00962A9D"/>
    <w:rsid w:val="00967621"/>
    <w:rsid w:val="00967969"/>
    <w:rsid w:val="00967E6A"/>
    <w:rsid w:val="00974AE8"/>
    <w:rsid w:val="00975517"/>
    <w:rsid w:val="00977C54"/>
    <w:rsid w:val="00986C6D"/>
    <w:rsid w:val="00991783"/>
    <w:rsid w:val="0099291F"/>
    <w:rsid w:val="00995334"/>
    <w:rsid w:val="009A5E08"/>
    <w:rsid w:val="009A65E0"/>
    <w:rsid w:val="009B25A8"/>
    <w:rsid w:val="009B312E"/>
    <w:rsid w:val="009B4A0F"/>
    <w:rsid w:val="009B51ED"/>
    <w:rsid w:val="009B6AE5"/>
    <w:rsid w:val="009C11D2"/>
    <w:rsid w:val="009C6C70"/>
    <w:rsid w:val="009C7008"/>
    <w:rsid w:val="009D0B63"/>
    <w:rsid w:val="009D4203"/>
    <w:rsid w:val="009E1189"/>
    <w:rsid w:val="009E1D5E"/>
    <w:rsid w:val="009E2E85"/>
    <w:rsid w:val="009E307E"/>
    <w:rsid w:val="009E3F1B"/>
    <w:rsid w:val="009E4A1B"/>
    <w:rsid w:val="009E50FF"/>
    <w:rsid w:val="009E5885"/>
    <w:rsid w:val="009F20F8"/>
    <w:rsid w:val="009F35A1"/>
    <w:rsid w:val="009F5B48"/>
    <w:rsid w:val="00A00B08"/>
    <w:rsid w:val="00A0173D"/>
    <w:rsid w:val="00A07870"/>
    <w:rsid w:val="00A07F19"/>
    <w:rsid w:val="00A11D51"/>
    <w:rsid w:val="00A1348D"/>
    <w:rsid w:val="00A134E7"/>
    <w:rsid w:val="00A1747F"/>
    <w:rsid w:val="00A232EE"/>
    <w:rsid w:val="00A274F5"/>
    <w:rsid w:val="00A31C79"/>
    <w:rsid w:val="00A34384"/>
    <w:rsid w:val="00A347AC"/>
    <w:rsid w:val="00A35AD1"/>
    <w:rsid w:val="00A4175F"/>
    <w:rsid w:val="00A44411"/>
    <w:rsid w:val="00A469FA"/>
    <w:rsid w:val="00A510A2"/>
    <w:rsid w:val="00A529CF"/>
    <w:rsid w:val="00A54B60"/>
    <w:rsid w:val="00A55B01"/>
    <w:rsid w:val="00A56B5B"/>
    <w:rsid w:val="00A603FF"/>
    <w:rsid w:val="00A61167"/>
    <w:rsid w:val="00A657DD"/>
    <w:rsid w:val="00A666A6"/>
    <w:rsid w:val="00A66917"/>
    <w:rsid w:val="00A675FD"/>
    <w:rsid w:val="00A72437"/>
    <w:rsid w:val="00A75271"/>
    <w:rsid w:val="00A80611"/>
    <w:rsid w:val="00A84A33"/>
    <w:rsid w:val="00A86011"/>
    <w:rsid w:val="00A90309"/>
    <w:rsid w:val="00A90F7E"/>
    <w:rsid w:val="00A97936"/>
    <w:rsid w:val="00AB1561"/>
    <w:rsid w:val="00AB340F"/>
    <w:rsid w:val="00AB5340"/>
    <w:rsid w:val="00AC0A89"/>
    <w:rsid w:val="00AC2D93"/>
    <w:rsid w:val="00AC49E3"/>
    <w:rsid w:val="00AC70B3"/>
    <w:rsid w:val="00AC7C96"/>
    <w:rsid w:val="00AD0078"/>
    <w:rsid w:val="00AD2394"/>
    <w:rsid w:val="00AD4CD7"/>
    <w:rsid w:val="00AD7CAF"/>
    <w:rsid w:val="00AE140A"/>
    <w:rsid w:val="00AE237D"/>
    <w:rsid w:val="00AE340E"/>
    <w:rsid w:val="00AE502A"/>
    <w:rsid w:val="00AF7C07"/>
    <w:rsid w:val="00B00AA4"/>
    <w:rsid w:val="00B00EF3"/>
    <w:rsid w:val="00B02769"/>
    <w:rsid w:val="00B02C53"/>
    <w:rsid w:val="00B05F14"/>
    <w:rsid w:val="00B06E09"/>
    <w:rsid w:val="00B077D1"/>
    <w:rsid w:val="00B1212B"/>
    <w:rsid w:val="00B13DDC"/>
    <w:rsid w:val="00B21C02"/>
    <w:rsid w:val="00B22C93"/>
    <w:rsid w:val="00B2546C"/>
    <w:rsid w:val="00B27589"/>
    <w:rsid w:val="00B405B7"/>
    <w:rsid w:val="00B52222"/>
    <w:rsid w:val="00B52C47"/>
    <w:rsid w:val="00B54FE7"/>
    <w:rsid w:val="00B55902"/>
    <w:rsid w:val="00B55F84"/>
    <w:rsid w:val="00B6168E"/>
    <w:rsid w:val="00B620E1"/>
    <w:rsid w:val="00B66901"/>
    <w:rsid w:val="00B67ED0"/>
    <w:rsid w:val="00B71E6D"/>
    <w:rsid w:val="00B72070"/>
    <w:rsid w:val="00B7638D"/>
    <w:rsid w:val="00B76E87"/>
    <w:rsid w:val="00B779E1"/>
    <w:rsid w:val="00B77F53"/>
    <w:rsid w:val="00B8324B"/>
    <w:rsid w:val="00B852B6"/>
    <w:rsid w:val="00B862E3"/>
    <w:rsid w:val="00B909EF"/>
    <w:rsid w:val="00B91EE1"/>
    <w:rsid w:val="00B93200"/>
    <w:rsid w:val="00B939E5"/>
    <w:rsid w:val="00BA0090"/>
    <w:rsid w:val="00BA0761"/>
    <w:rsid w:val="00BA1A67"/>
    <w:rsid w:val="00BA6C98"/>
    <w:rsid w:val="00BB523C"/>
    <w:rsid w:val="00BC02FC"/>
    <w:rsid w:val="00BC1695"/>
    <w:rsid w:val="00BD0912"/>
    <w:rsid w:val="00BD2E4D"/>
    <w:rsid w:val="00BE05FB"/>
    <w:rsid w:val="00BE1EEC"/>
    <w:rsid w:val="00BE5B5F"/>
    <w:rsid w:val="00BE7199"/>
    <w:rsid w:val="00BF52DC"/>
    <w:rsid w:val="00C014AE"/>
    <w:rsid w:val="00C115CC"/>
    <w:rsid w:val="00C11CBA"/>
    <w:rsid w:val="00C13273"/>
    <w:rsid w:val="00C141B7"/>
    <w:rsid w:val="00C1732E"/>
    <w:rsid w:val="00C2295F"/>
    <w:rsid w:val="00C26F55"/>
    <w:rsid w:val="00C30C63"/>
    <w:rsid w:val="00C33F9C"/>
    <w:rsid w:val="00C36698"/>
    <w:rsid w:val="00C36B8B"/>
    <w:rsid w:val="00C415C1"/>
    <w:rsid w:val="00C45EF7"/>
    <w:rsid w:val="00C477E0"/>
    <w:rsid w:val="00C47DBF"/>
    <w:rsid w:val="00C552FF"/>
    <w:rsid w:val="00C558DA"/>
    <w:rsid w:val="00C55AF3"/>
    <w:rsid w:val="00C577A0"/>
    <w:rsid w:val="00C61651"/>
    <w:rsid w:val="00C653F6"/>
    <w:rsid w:val="00C65F29"/>
    <w:rsid w:val="00C678F3"/>
    <w:rsid w:val="00C73070"/>
    <w:rsid w:val="00C80BD4"/>
    <w:rsid w:val="00C84759"/>
    <w:rsid w:val="00C86E33"/>
    <w:rsid w:val="00C915ED"/>
    <w:rsid w:val="00C95052"/>
    <w:rsid w:val="00C97530"/>
    <w:rsid w:val="00CA102E"/>
    <w:rsid w:val="00CA6C7F"/>
    <w:rsid w:val="00CB0CBD"/>
    <w:rsid w:val="00CB5653"/>
    <w:rsid w:val="00CC10A6"/>
    <w:rsid w:val="00CC5D1F"/>
    <w:rsid w:val="00CD5EB8"/>
    <w:rsid w:val="00CD6830"/>
    <w:rsid w:val="00CD7044"/>
    <w:rsid w:val="00CE08B9"/>
    <w:rsid w:val="00CE27FE"/>
    <w:rsid w:val="00CE524C"/>
    <w:rsid w:val="00CF052A"/>
    <w:rsid w:val="00CF141F"/>
    <w:rsid w:val="00CF2E7F"/>
    <w:rsid w:val="00CF4777"/>
    <w:rsid w:val="00D01724"/>
    <w:rsid w:val="00D067BB"/>
    <w:rsid w:val="00D06FD7"/>
    <w:rsid w:val="00D1352A"/>
    <w:rsid w:val="00D15E7D"/>
    <w:rsid w:val="00D164AB"/>
    <w:rsid w:val="00D169AF"/>
    <w:rsid w:val="00D25249"/>
    <w:rsid w:val="00D3083C"/>
    <w:rsid w:val="00D30977"/>
    <w:rsid w:val="00D377E1"/>
    <w:rsid w:val="00D40D38"/>
    <w:rsid w:val="00D41078"/>
    <w:rsid w:val="00D42C6F"/>
    <w:rsid w:val="00D44172"/>
    <w:rsid w:val="00D45925"/>
    <w:rsid w:val="00D50443"/>
    <w:rsid w:val="00D53145"/>
    <w:rsid w:val="00D5341F"/>
    <w:rsid w:val="00D55994"/>
    <w:rsid w:val="00D56CFD"/>
    <w:rsid w:val="00D573BD"/>
    <w:rsid w:val="00D57BB3"/>
    <w:rsid w:val="00D62932"/>
    <w:rsid w:val="00D63B8C"/>
    <w:rsid w:val="00D64C37"/>
    <w:rsid w:val="00D673B5"/>
    <w:rsid w:val="00D716E1"/>
    <w:rsid w:val="00D72189"/>
    <w:rsid w:val="00D739CC"/>
    <w:rsid w:val="00D751D6"/>
    <w:rsid w:val="00D80130"/>
    <w:rsid w:val="00D8093D"/>
    <w:rsid w:val="00D80BF4"/>
    <w:rsid w:val="00D80C00"/>
    <w:rsid w:val="00D8108C"/>
    <w:rsid w:val="00D842AE"/>
    <w:rsid w:val="00D9211C"/>
    <w:rsid w:val="00D92C4B"/>
    <w:rsid w:val="00D92DDB"/>
    <w:rsid w:val="00D92DE0"/>
    <w:rsid w:val="00D92FEF"/>
    <w:rsid w:val="00D93A0F"/>
    <w:rsid w:val="00D96276"/>
    <w:rsid w:val="00D96CB1"/>
    <w:rsid w:val="00DA1BCA"/>
    <w:rsid w:val="00DA1D17"/>
    <w:rsid w:val="00DB04A6"/>
    <w:rsid w:val="00DB38C9"/>
    <w:rsid w:val="00DB4EC5"/>
    <w:rsid w:val="00DB77E2"/>
    <w:rsid w:val="00DB7FA6"/>
    <w:rsid w:val="00DC46FF"/>
    <w:rsid w:val="00DC5254"/>
    <w:rsid w:val="00DD0416"/>
    <w:rsid w:val="00DD092A"/>
    <w:rsid w:val="00DD1A4F"/>
    <w:rsid w:val="00DD3107"/>
    <w:rsid w:val="00DD5E34"/>
    <w:rsid w:val="00DD7C2C"/>
    <w:rsid w:val="00DE17D5"/>
    <w:rsid w:val="00DE2AB1"/>
    <w:rsid w:val="00DE4A44"/>
    <w:rsid w:val="00DE60F3"/>
    <w:rsid w:val="00DE7940"/>
    <w:rsid w:val="00DF6133"/>
    <w:rsid w:val="00DF6CF9"/>
    <w:rsid w:val="00E025D4"/>
    <w:rsid w:val="00E06279"/>
    <w:rsid w:val="00E06797"/>
    <w:rsid w:val="00E1265B"/>
    <w:rsid w:val="00E13B48"/>
    <w:rsid w:val="00E1404F"/>
    <w:rsid w:val="00E15B01"/>
    <w:rsid w:val="00E203C8"/>
    <w:rsid w:val="00E21C83"/>
    <w:rsid w:val="00E24ADA"/>
    <w:rsid w:val="00E274B1"/>
    <w:rsid w:val="00E32EC0"/>
    <w:rsid w:val="00E32F59"/>
    <w:rsid w:val="00E33818"/>
    <w:rsid w:val="00E404FB"/>
    <w:rsid w:val="00E42283"/>
    <w:rsid w:val="00E44A21"/>
    <w:rsid w:val="00E46D9A"/>
    <w:rsid w:val="00E551DF"/>
    <w:rsid w:val="00E565FF"/>
    <w:rsid w:val="00E62543"/>
    <w:rsid w:val="00E62946"/>
    <w:rsid w:val="00E62CC3"/>
    <w:rsid w:val="00E65388"/>
    <w:rsid w:val="00E731A1"/>
    <w:rsid w:val="00E85B7D"/>
    <w:rsid w:val="00E90D12"/>
    <w:rsid w:val="00E9121B"/>
    <w:rsid w:val="00E924BD"/>
    <w:rsid w:val="00E94651"/>
    <w:rsid w:val="00EA0AE2"/>
    <w:rsid w:val="00EA39E5"/>
    <w:rsid w:val="00EB56A4"/>
    <w:rsid w:val="00EB7BC1"/>
    <w:rsid w:val="00EC5A46"/>
    <w:rsid w:val="00EC63E2"/>
    <w:rsid w:val="00EC6DCF"/>
    <w:rsid w:val="00EC6FA0"/>
    <w:rsid w:val="00EF22B3"/>
    <w:rsid w:val="00EF360E"/>
    <w:rsid w:val="00F01391"/>
    <w:rsid w:val="00F02B09"/>
    <w:rsid w:val="00F02D99"/>
    <w:rsid w:val="00F03B69"/>
    <w:rsid w:val="00F0419A"/>
    <w:rsid w:val="00F07A50"/>
    <w:rsid w:val="00F113DA"/>
    <w:rsid w:val="00F11F8A"/>
    <w:rsid w:val="00F14491"/>
    <w:rsid w:val="00F20075"/>
    <w:rsid w:val="00F248EE"/>
    <w:rsid w:val="00F2792C"/>
    <w:rsid w:val="00F33AF6"/>
    <w:rsid w:val="00F35A08"/>
    <w:rsid w:val="00F37DC8"/>
    <w:rsid w:val="00F37DEB"/>
    <w:rsid w:val="00F439B3"/>
    <w:rsid w:val="00F47480"/>
    <w:rsid w:val="00F53F13"/>
    <w:rsid w:val="00F579D0"/>
    <w:rsid w:val="00F63598"/>
    <w:rsid w:val="00F650C3"/>
    <w:rsid w:val="00F65BDB"/>
    <w:rsid w:val="00F65D85"/>
    <w:rsid w:val="00F74F59"/>
    <w:rsid w:val="00F8091E"/>
    <w:rsid w:val="00F85B88"/>
    <w:rsid w:val="00F8615C"/>
    <w:rsid w:val="00F86C74"/>
    <w:rsid w:val="00F9150B"/>
    <w:rsid w:val="00F936D3"/>
    <w:rsid w:val="00F969E5"/>
    <w:rsid w:val="00F97CA7"/>
    <w:rsid w:val="00F97F2F"/>
    <w:rsid w:val="00FA4AE4"/>
    <w:rsid w:val="00FA5D24"/>
    <w:rsid w:val="00FA6BB0"/>
    <w:rsid w:val="00FB23A4"/>
    <w:rsid w:val="00FB5B99"/>
    <w:rsid w:val="00FB7305"/>
    <w:rsid w:val="00FC2D59"/>
    <w:rsid w:val="00FC3BC0"/>
    <w:rsid w:val="00FC709C"/>
    <w:rsid w:val="00FD22BD"/>
    <w:rsid w:val="00FD5860"/>
    <w:rsid w:val="00FD708C"/>
    <w:rsid w:val="00FE352D"/>
    <w:rsid w:val="00FE40EB"/>
    <w:rsid w:val="00FE4D02"/>
    <w:rsid w:val="00FE58F0"/>
    <w:rsid w:val="00FE7D62"/>
    <w:rsid w:val="00FF2176"/>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link w:val="FootnoteText"/>
    <w:semiHidden/>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MediumGrid1-Accent21">
    <w:name w:val="Medium Grid 1 - Accent 2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customStyle="1" w:styleId="TOCHeading1">
    <w:name w:val="TOC Heading1"/>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3E1CCD"/>
    <w:rPr>
      <w:lang w:eastAsia="en-US"/>
    </w:rPr>
  </w:style>
  <w:style w:type="paragraph" w:customStyle="1" w:styleId="ColorfulList-Accent11">
    <w:name w:val="Colorful List - Accent 11"/>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qFormat/>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customStyle="1" w:styleId="ColorfulShading-Accent11">
    <w:name w:val="Colorful Shading - Accent 11"/>
    <w:hidden/>
    <w:uiPriority w:val="99"/>
    <w:semiHidden/>
    <w:rsid w:val="004A6852"/>
    <w:rPr>
      <w:color w:val="000000"/>
    </w:rPr>
  </w:style>
  <w:style w:type="character" w:customStyle="1" w:styleId="FooterChar">
    <w:name w:val="Footer Char"/>
    <w:link w:val="Footer"/>
    <w:uiPriority w:val="99"/>
    <w:rsid w:val="004A6852"/>
    <w:rPr>
      <w:sz w:val="18"/>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link w:val="FootnoteText"/>
    <w:semiHidden/>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MediumGrid1-Accent21">
    <w:name w:val="Medium Grid 1 - Accent 2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customStyle="1" w:styleId="TOCHeading1">
    <w:name w:val="TOC Heading1"/>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3E1CCD"/>
    <w:rPr>
      <w:lang w:eastAsia="en-US"/>
    </w:rPr>
  </w:style>
  <w:style w:type="paragraph" w:customStyle="1" w:styleId="ColorfulList-Accent11">
    <w:name w:val="Colorful List - Accent 11"/>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qFormat/>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customStyle="1" w:styleId="ColorfulShading-Accent11">
    <w:name w:val="Colorful Shading - Accent 11"/>
    <w:hidden/>
    <w:uiPriority w:val="99"/>
    <w:semiHidden/>
    <w:rsid w:val="004A6852"/>
    <w:rPr>
      <w:color w:val="000000"/>
    </w:rPr>
  </w:style>
  <w:style w:type="character" w:customStyle="1" w:styleId="FooterChar">
    <w:name w:val="Footer Char"/>
    <w:link w:val="Footer"/>
    <w:uiPriority w:val="99"/>
    <w:rsid w:val="004A6852"/>
    <w:rPr>
      <w:sz w:val="18"/>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2916">
      <w:bodyDiv w:val="1"/>
      <w:marLeft w:val="0"/>
      <w:marRight w:val="0"/>
      <w:marTop w:val="0"/>
      <w:marBottom w:val="0"/>
      <w:divBdr>
        <w:top w:val="none" w:sz="0" w:space="0" w:color="auto"/>
        <w:left w:val="none" w:sz="0" w:space="0" w:color="auto"/>
        <w:bottom w:val="none" w:sz="0" w:space="0" w:color="auto"/>
        <w:right w:val="none" w:sz="0" w:space="0" w:color="auto"/>
      </w:divBdr>
      <w:divsChild>
        <w:div w:id="1732651468">
          <w:marLeft w:val="0"/>
          <w:marRight w:val="0"/>
          <w:marTop w:val="0"/>
          <w:marBottom w:val="0"/>
          <w:divBdr>
            <w:top w:val="none" w:sz="0" w:space="0" w:color="auto"/>
            <w:left w:val="none" w:sz="0" w:space="0" w:color="auto"/>
            <w:bottom w:val="none" w:sz="0" w:space="0" w:color="auto"/>
            <w:right w:val="none" w:sz="0" w:space="0" w:color="auto"/>
          </w:divBdr>
          <w:divsChild>
            <w:div w:id="1009409163">
              <w:marLeft w:val="0"/>
              <w:marRight w:val="0"/>
              <w:marTop w:val="0"/>
              <w:marBottom w:val="0"/>
              <w:divBdr>
                <w:top w:val="none" w:sz="0" w:space="0" w:color="auto"/>
                <w:left w:val="none" w:sz="0" w:space="0" w:color="auto"/>
                <w:bottom w:val="none" w:sz="0" w:space="0" w:color="auto"/>
                <w:right w:val="none" w:sz="0" w:space="0" w:color="auto"/>
              </w:divBdr>
              <w:divsChild>
                <w:div w:id="1130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p.org/chemicalsandwaste/Portals/9/Mainstreaming/LIRA-Country%20Workshop/LIRA%20Guidance/LIRA_Guidance%20Report_Draft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C16C-397C-41EF-AEB7-CF2DEC64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7234</Words>
  <Characters>41235</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48373</CharactersWithSpaces>
  <SharedDoc>false</SharedDoc>
  <HLinks>
    <vt:vector size="6" baseType="variant">
      <vt:variant>
        <vt:i4>5701646</vt:i4>
      </vt:variant>
      <vt:variant>
        <vt:i4>3</vt:i4>
      </vt:variant>
      <vt:variant>
        <vt:i4>0</vt:i4>
      </vt:variant>
      <vt:variant>
        <vt:i4>5</vt:i4>
      </vt:variant>
      <vt:variant>
        <vt:lpwstr>http://www.unep.org/chemicalsandwaste/Portals/9/Mainstreaming/LIRA-Country Workshop/LIRA Guidance/LIRA_Guidance Report_Draft1.pdf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John Njuguna</cp:lastModifiedBy>
  <cp:revision>2</cp:revision>
  <cp:lastPrinted>2016-01-11T07:38:00Z</cp:lastPrinted>
  <dcterms:created xsi:type="dcterms:W3CDTF">2016-04-28T13:10:00Z</dcterms:created>
  <dcterms:modified xsi:type="dcterms:W3CDTF">2016-04-28T13:10:00Z</dcterms:modified>
</cp:coreProperties>
</file>