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73"/>
        <w:gridCol w:w="5426"/>
        <w:gridCol w:w="2856"/>
      </w:tblGrid>
      <w:tr w:rsidR="00012C16" w:rsidRPr="00C579D1" w:rsidTr="00FA789D">
        <w:trPr>
          <w:cantSplit/>
          <w:trHeight w:val="850"/>
          <w:jc w:val="right"/>
        </w:trPr>
        <w:tc>
          <w:tcPr>
            <w:tcW w:w="1550" w:type="dxa"/>
          </w:tcPr>
          <w:p w:rsidR="00012C16" w:rsidRPr="00C579D1" w:rsidRDefault="00E537BD" w:rsidP="00E537BD">
            <w:pPr>
              <w:rPr>
                <w:rFonts w:ascii="Univers" w:hAnsi="Univers"/>
                <w:b/>
                <w:noProof/>
                <w:sz w:val="27"/>
                <w:szCs w:val="27"/>
              </w:rPr>
            </w:pPr>
            <w:bookmarkStart w:id="0" w:name="_GoBack"/>
            <w:bookmarkEnd w:id="0"/>
            <w:r w:rsidRPr="00C579D1">
              <w:rPr>
                <w:rFonts w:ascii="Arial" w:hAnsi="Arial" w:cs="Arial"/>
                <w:b/>
                <w:noProof/>
                <w:sz w:val="27"/>
                <w:szCs w:val="27"/>
              </w:rPr>
              <w:t>NATIONS</w:t>
            </w:r>
            <w:r w:rsidR="00012C16" w:rsidRPr="00C579D1">
              <w:rPr>
                <w:rFonts w:ascii="Arial" w:hAnsi="Arial" w:cs="Arial"/>
                <w:b/>
                <w:noProof/>
                <w:sz w:val="27"/>
                <w:szCs w:val="27"/>
              </w:rPr>
              <w:br/>
            </w:r>
            <w:r w:rsidRPr="00C579D1">
              <w:rPr>
                <w:rFonts w:ascii="Arial" w:hAnsi="Arial" w:cs="Arial"/>
                <w:b/>
                <w:noProof/>
                <w:sz w:val="27"/>
                <w:szCs w:val="27"/>
              </w:rPr>
              <w:t>UNIES</w:t>
            </w:r>
          </w:p>
        </w:tc>
        <w:tc>
          <w:tcPr>
            <w:tcW w:w="5347" w:type="dxa"/>
          </w:tcPr>
          <w:p w:rsidR="00012C16" w:rsidRPr="00C579D1" w:rsidRDefault="00012C16" w:rsidP="00225F3C">
            <w:pPr>
              <w:rPr>
                <w:rFonts w:ascii="Univers" w:hAnsi="Univers"/>
                <w:b/>
                <w:sz w:val="27"/>
                <w:szCs w:val="27"/>
              </w:rPr>
            </w:pPr>
          </w:p>
        </w:tc>
        <w:tc>
          <w:tcPr>
            <w:tcW w:w="2815" w:type="dxa"/>
          </w:tcPr>
          <w:p w:rsidR="00012C16" w:rsidRPr="00C579D1" w:rsidRDefault="00012C16" w:rsidP="00225F3C">
            <w:pPr>
              <w:jc w:val="right"/>
              <w:rPr>
                <w:rFonts w:ascii="Arial" w:hAnsi="Arial" w:cs="Arial"/>
                <w:b/>
                <w:sz w:val="64"/>
                <w:szCs w:val="64"/>
              </w:rPr>
            </w:pPr>
            <w:r w:rsidRPr="00C579D1">
              <w:rPr>
                <w:rFonts w:ascii="Arial" w:hAnsi="Arial" w:cs="Arial"/>
                <w:b/>
                <w:sz w:val="64"/>
                <w:szCs w:val="64"/>
              </w:rPr>
              <w:t>EP</w:t>
            </w:r>
          </w:p>
        </w:tc>
      </w:tr>
      <w:tr w:rsidR="00012C16" w:rsidRPr="00C579D1" w:rsidTr="00FA789D">
        <w:trPr>
          <w:cantSplit/>
          <w:trHeight w:val="281"/>
          <w:jc w:val="right"/>
        </w:trPr>
        <w:tc>
          <w:tcPr>
            <w:tcW w:w="1550" w:type="dxa"/>
            <w:tcBorders>
              <w:bottom w:val="single" w:sz="4" w:space="0" w:color="auto"/>
            </w:tcBorders>
          </w:tcPr>
          <w:p w:rsidR="00012C16" w:rsidRPr="00C579D1" w:rsidRDefault="00012C16" w:rsidP="00225F3C">
            <w:pPr>
              <w:rPr>
                <w:noProof/>
                <w:sz w:val="18"/>
                <w:szCs w:val="18"/>
              </w:rPr>
            </w:pPr>
          </w:p>
        </w:tc>
        <w:tc>
          <w:tcPr>
            <w:tcW w:w="5347" w:type="dxa"/>
            <w:tcBorders>
              <w:bottom w:val="single" w:sz="4" w:space="0" w:color="auto"/>
            </w:tcBorders>
          </w:tcPr>
          <w:p w:rsidR="00012C16" w:rsidRPr="00C579D1" w:rsidRDefault="00012C16" w:rsidP="00225F3C">
            <w:pPr>
              <w:rPr>
                <w:rFonts w:ascii="Univers" w:hAnsi="Univers"/>
                <w:b/>
                <w:sz w:val="18"/>
                <w:szCs w:val="18"/>
              </w:rPr>
            </w:pPr>
          </w:p>
        </w:tc>
        <w:tc>
          <w:tcPr>
            <w:tcW w:w="2815" w:type="dxa"/>
            <w:tcBorders>
              <w:bottom w:val="single" w:sz="4" w:space="0" w:color="auto"/>
            </w:tcBorders>
          </w:tcPr>
          <w:p w:rsidR="00012C16" w:rsidRPr="00C579D1" w:rsidRDefault="00012C16" w:rsidP="00F63FF9">
            <w:pPr>
              <w:rPr>
                <w:noProof/>
                <w:sz w:val="18"/>
                <w:szCs w:val="18"/>
              </w:rPr>
            </w:pPr>
            <w:r w:rsidRPr="00C579D1">
              <w:rPr>
                <w:b/>
                <w:bCs/>
                <w:sz w:val="28"/>
              </w:rPr>
              <w:t>UNEP</w:t>
            </w:r>
            <w:r w:rsidRPr="00C579D1">
              <w:t>/</w:t>
            </w:r>
            <w:r w:rsidR="006C4C5E" w:rsidRPr="00C579D1">
              <w:t>EA.2</w:t>
            </w:r>
            <w:r w:rsidRPr="00C579D1">
              <w:t>/</w:t>
            </w:r>
            <w:r w:rsidR="00F63FF9" w:rsidRPr="00C579D1">
              <w:t>3</w:t>
            </w:r>
          </w:p>
        </w:tc>
      </w:tr>
      <w:bookmarkStart w:id="1" w:name="_MON_1021710510"/>
      <w:bookmarkEnd w:id="1"/>
      <w:bookmarkStart w:id="2" w:name="_MON_1021710482"/>
      <w:bookmarkEnd w:id="2"/>
      <w:tr w:rsidR="00012C16" w:rsidRPr="00C579D1" w:rsidTr="00FA789D">
        <w:trPr>
          <w:cantSplit/>
          <w:trHeight w:val="2549"/>
          <w:jc w:val="right"/>
        </w:trPr>
        <w:tc>
          <w:tcPr>
            <w:tcW w:w="1550" w:type="dxa"/>
            <w:tcBorders>
              <w:top w:val="single" w:sz="4" w:space="0" w:color="auto"/>
              <w:bottom w:val="single" w:sz="24" w:space="0" w:color="auto"/>
            </w:tcBorders>
          </w:tcPr>
          <w:p w:rsidR="00012C16" w:rsidRPr="00C579D1" w:rsidRDefault="00012C16" w:rsidP="00225F3C">
            <w:pPr>
              <w:rPr>
                <w:noProof/>
              </w:rPr>
            </w:pPr>
            <w:r w:rsidRPr="00C579D1">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5pt;height:60.85pt" o:ole="" fillcolor="window">
                  <v:imagedata r:id="rId10" o:title=""/>
                </v:shape>
                <o:OLEObject Type="Embed" ProgID="Word.Picture.8" ShapeID="_x0000_i1025" DrawAspect="Content" ObjectID="_1521901433" r:id="rId11"/>
              </w:object>
            </w:r>
            <w:r w:rsidR="00A9336E" w:rsidRPr="00C579D1">
              <w:rPr>
                <w:noProof/>
                <w:lang w:val="en-US"/>
              </w:rPr>
              <w:drawing>
                <wp:inline distT="0" distB="0" distL="0" distR="0" wp14:anchorId="27C5A7A4" wp14:editId="64BD08C1">
                  <wp:extent cx="725805" cy="760730"/>
                  <wp:effectExtent l="0" t="0" r="0" b="127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805" cy="76073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rsidR="00012C16" w:rsidRPr="00C579D1" w:rsidRDefault="001455DA" w:rsidP="007A381A">
            <w:pPr>
              <w:spacing w:before="1400" w:after="120"/>
              <w:rPr>
                <w:rFonts w:ascii="Univers" w:hAnsi="Univers"/>
                <w:b/>
                <w:sz w:val="28"/>
                <w:szCs w:val="28"/>
              </w:rPr>
            </w:pPr>
            <w:r w:rsidRPr="00C579D1">
              <w:rPr>
                <w:rFonts w:ascii="Arial" w:hAnsi="Arial" w:cs="Arial"/>
                <w:b/>
                <w:sz w:val="28"/>
                <w:szCs w:val="28"/>
              </w:rPr>
              <w:t>Assemblée des Nations Unies</w:t>
            </w:r>
            <w:r w:rsidR="00012C16" w:rsidRPr="00C579D1">
              <w:rPr>
                <w:rFonts w:ascii="Arial" w:hAnsi="Arial" w:cs="Arial"/>
                <w:b/>
                <w:sz w:val="28"/>
                <w:szCs w:val="28"/>
              </w:rPr>
              <w:t xml:space="preserve"> </w:t>
            </w:r>
            <w:r w:rsidR="007A381A" w:rsidRPr="00C579D1">
              <w:rPr>
                <w:rFonts w:ascii="Arial" w:hAnsi="Arial" w:cs="Arial"/>
                <w:b/>
                <w:sz w:val="28"/>
                <w:szCs w:val="28"/>
              </w:rPr>
              <w:t>pour</w:t>
            </w:r>
            <w:r w:rsidR="00012C16" w:rsidRPr="00C579D1">
              <w:rPr>
                <w:rFonts w:ascii="Arial" w:hAnsi="Arial" w:cs="Arial"/>
                <w:b/>
                <w:sz w:val="28"/>
                <w:szCs w:val="28"/>
              </w:rPr>
              <w:br/>
            </w:r>
            <w:r w:rsidRPr="00C579D1">
              <w:rPr>
                <w:rFonts w:ascii="Arial" w:hAnsi="Arial" w:cs="Arial"/>
                <w:b/>
                <w:sz w:val="28"/>
                <w:szCs w:val="28"/>
              </w:rPr>
              <w:t>l’environnement du Programme</w:t>
            </w:r>
            <w:r w:rsidR="00012C16" w:rsidRPr="00C579D1">
              <w:rPr>
                <w:rFonts w:ascii="Arial" w:hAnsi="Arial" w:cs="Arial"/>
                <w:b/>
                <w:sz w:val="28"/>
                <w:szCs w:val="28"/>
              </w:rPr>
              <w:t xml:space="preserve"> </w:t>
            </w:r>
            <w:r w:rsidR="007A381A" w:rsidRPr="00C579D1">
              <w:rPr>
                <w:rFonts w:ascii="Arial" w:hAnsi="Arial" w:cs="Arial"/>
                <w:b/>
                <w:sz w:val="28"/>
                <w:szCs w:val="28"/>
              </w:rPr>
              <w:t>des</w:t>
            </w:r>
            <w:r w:rsidR="00012C16" w:rsidRPr="00C579D1">
              <w:rPr>
                <w:rFonts w:ascii="Arial" w:hAnsi="Arial" w:cs="Arial"/>
                <w:b/>
                <w:sz w:val="28"/>
                <w:szCs w:val="28"/>
              </w:rPr>
              <w:br/>
            </w:r>
            <w:r w:rsidRPr="00C579D1">
              <w:rPr>
                <w:rFonts w:ascii="Arial" w:hAnsi="Arial" w:cs="Arial"/>
                <w:b/>
                <w:sz w:val="28"/>
                <w:szCs w:val="28"/>
              </w:rPr>
              <w:t>Nations Unies pour l’environnement</w:t>
            </w:r>
          </w:p>
        </w:tc>
        <w:tc>
          <w:tcPr>
            <w:tcW w:w="2815" w:type="dxa"/>
            <w:tcBorders>
              <w:top w:val="single" w:sz="4" w:space="0" w:color="auto"/>
              <w:bottom w:val="single" w:sz="24" w:space="0" w:color="auto"/>
            </w:tcBorders>
          </w:tcPr>
          <w:p w:rsidR="00012C16" w:rsidRPr="00C579D1" w:rsidRDefault="00012C16" w:rsidP="00225F3C">
            <w:pPr>
              <w:spacing w:before="120"/>
            </w:pPr>
            <w:r w:rsidRPr="00C579D1">
              <w:t>Distr</w:t>
            </w:r>
            <w:r w:rsidR="00CD7A04" w:rsidRPr="00C579D1">
              <w:t xml:space="preserve">. </w:t>
            </w:r>
            <w:r w:rsidR="00E537BD" w:rsidRPr="00C579D1">
              <w:t>générale</w:t>
            </w:r>
            <w:r w:rsidRPr="00C579D1">
              <w:br/>
            </w:r>
            <w:r w:rsidR="003B1C72">
              <w:t>3 mars</w:t>
            </w:r>
            <w:r w:rsidR="00E537BD" w:rsidRPr="00C579D1">
              <w:t> </w:t>
            </w:r>
            <w:r w:rsidR="00361657" w:rsidRPr="00C579D1">
              <w:t>201</w:t>
            </w:r>
            <w:r w:rsidR="003B1C72">
              <w:t>6</w:t>
            </w:r>
          </w:p>
          <w:p w:rsidR="00E537BD" w:rsidRPr="00C579D1" w:rsidRDefault="00E537BD" w:rsidP="00E537BD"/>
          <w:p w:rsidR="00E537BD" w:rsidRPr="00C579D1" w:rsidRDefault="00E537BD" w:rsidP="00E537BD">
            <w:r w:rsidRPr="00C579D1">
              <w:t>Français</w:t>
            </w:r>
          </w:p>
          <w:p w:rsidR="00012C16" w:rsidRPr="00C579D1" w:rsidRDefault="00F63FF9" w:rsidP="00E537BD">
            <w:r w:rsidRPr="00C579D1">
              <w:t>Original</w:t>
            </w:r>
            <w:r w:rsidR="00E537BD" w:rsidRPr="00C579D1">
              <w:t> </w:t>
            </w:r>
            <w:r w:rsidRPr="00C579D1">
              <w:t xml:space="preserve">: </w:t>
            </w:r>
            <w:r w:rsidR="00E537BD" w:rsidRPr="00C579D1">
              <w:t>anglais</w:t>
            </w:r>
          </w:p>
        </w:tc>
      </w:tr>
    </w:tbl>
    <w:p w:rsidR="00012C16" w:rsidRPr="00C579D1" w:rsidRDefault="001455DA" w:rsidP="007A381A">
      <w:pPr>
        <w:pStyle w:val="AATitle"/>
        <w:ind w:right="4676"/>
        <w:rPr>
          <w:lang w:val="fr-FR"/>
        </w:rPr>
      </w:pPr>
      <w:r w:rsidRPr="00C579D1">
        <w:rPr>
          <w:lang w:val="fr-FR"/>
        </w:rPr>
        <w:t>Assemblée des Nations Unies pour l’environnement</w:t>
      </w:r>
    </w:p>
    <w:p w:rsidR="00012C16" w:rsidRPr="00C579D1" w:rsidRDefault="001455DA" w:rsidP="007A381A">
      <w:pPr>
        <w:pStyle w:val="AATitle"/>
        <w:ind w:right="4676"/>
        <w:rPr>
          <w:lang w:val="fr-FR"/>
        </w:rPr>
      </w:pPr>
      <w:r w:rsidRPr="00C579D1">
        <w:rPr>
          <w:lang w:val="fr-FR"/>
        </w:rPr>
        <w:t xml:space="preserve">du Programme des Nations Unies pour </w:t>
      </w:r>
      <w:r w:rsidR="007A381A" w:rsidRPr="00C579D1">
        <w:rPr>
          <w:lang w:val="fr-FR"/>
        </w:rPr>
        <w:t>l’environnement</w:t>
      </w:r>
    </w:p>
    <w:p w:rsidR="00012C16" w:rsidRPr="00C579D1" w:rsidRDefault="001455DA" w:rsidP="00012C16">
      <w:pPr>
        <w:pStyle w:val="AATitle"/>
        <w:rPr>
          <w:lang w:val="fr-FR"/>
        </w:rPr>
      </w:pPr>
      <w:r w:rsidRPr="00C579D1">
        <w:rPr>
          <w:lang w:val="fr-FR"/>
        </w:rPr>
        <w:t>Deuxième </w:t>
      </w:r>
      <w:r w:rsidR="00012C16" w:rsidRPr="00C579D1">
        <w:rPr>
          <w:lang w:val="fr-FR"/>
        </w:rPr>
        <w:t>session</w:t>
      </w:r>
    </w:p>
    <w:p w:rsidR="006C4C5E" w:rsidRPr="00C579D1" w:rsidRDefault="006C4C5E" w:rsidP="006C4C5E">
      <w:pPr>
        <w:pStyle w:val="AATitle"/>
        <w:keepNext w:val="0"/>
        <w:keepLines w:val="0"/>
        <w:rPr>
          <w:b w:val="0"/>
          <w:lang w:val="fr-FR"/>
        </w:rPr>
      </w:pPr>
      <w:r w:rsidRPr="00C579D1">
        <w:rPr>
          <w:b w:val="0"/>
          <w:lang w:val="fr-FR"/>
        </w:rPr>
        <w:t>Nairobi, 23</w:t>
      </w:r>
      <w:r w:rsidR="004466A3" w:rsidRPr="00C579D1">
        <w:rPr>
          <w:b w:val="0"/>
          <w:lang w:val="fr-FR"/>
        </w:rPr>
        <w:t>–</w:t>
      </w:r>
      <w:r w:rsidR="001455DA" w:rsidRPr="00C579D1">
        <w:rPr>
          <w:b w:val="0"/>
          <w:lang w:val="fr-FR"/>
        </w:rPr>
        <w:t>27 mai </w:t>
      </w:r>
      <w:r w:rsidRPr="00C579D1">
        <w:rPr>
          <w:b w:val="0"/>
          <w:lang w:val="fr-FR"/>
        </w:rPr>
        <w:t>2016</w:t>
      </w:r>
    </w:p>
    <w:p w:rsidR="006C4C5E" w:rsidRDefault="001455DA" w:rsidP="006C4C5E">
      <w:pPr>
        <w:pStyle w:val="AATitle"/>
        <w:rPr>
          <w:b w:val="0"/>
          <w:lang w:val="fr-FR"/>
        </w:rPr>
      </w:pPr>
      <w:r w:rsidRPr="00C579D1">
        <w:rPr>
          <w:b w:val="0"/>
          <w:lang w:val="fr-FR"/>
        </w:rPr>
        <w:t>Points</w:t>
      </w:r>
      <w:r w:rsidR="008D035A" w:rsidRPr="00C579D1">
        <w:rPr>
          <w:b w:val="0"/>
          <w:lang w:val="fr-FR"/>
        </w:rPr>
        <w:t> </w:t>
      </w:r>
      <w:r w:rsidR="00EA6A0D">
        <w:rPr>
          <w:b w:val="0"/>
          <w:lang w:val="fr-FR"/>
        </w:rPr>
        <w:t>4 b)</w:t>
      </w:r>
      <w:r w:rsidR="006C4C5E" w:rsidRPr="00C579D1">
        <w:rPr>
          <w:b w:val="0"/>
          <w:lang w:val="fr-FR"/>
        </w:rPr>
        <w:t xml:space="preserve"> </w:t>
      </w:r>
      <w:r w:rsidRPr="00C579D1">
        <w:rPr>
          <w:b w:val="0"/>
          <w:lang w:val="fr-FR"/>
        </w:rPr>
        <w:t>de l’ordre du jour provisoire</w:t>
      </w:r>
      <w:r w:rsidR="00480C2E" w:rsidRPr="00C579D1">
        <w:rPr>
          <w:rStyle w:val="FootnoteReference"/>
          <w:b w:val="0"/>
          <w:lang w:val="fr-FR"/>
        </w:rPr>
        <w:footnoteReference w:customMarkFollows="1" w:id="2"/>
        <w:t>*</w:t>
      </w:r>
    </w:p>
    <w:p w:rsidR="00EA6A0D" w:rsidRPr="00C579D1" w:rsidRDefault="00EA6A0D" w:rsidP="006C4C5E">
      <w:pPr>
        <w:pStyle w:val="AATitle"/>
        <w:rPr>
          <w:b w:val="0"/>
          <w:lang w:val="fr-FR"/>
        </w:rPr>
      </w:pPr>
      <w:r w:rsidRPr="003830FF">
        <w:rPr>
          <w:w w:val="103"/>
          <w:lang w:val="fr-FR"/>
        </w:rPr>
        <w:t xml:space="preserve">Questions </w:t>
      </w:r>
      <w:r w:rsidRPr="003830FF">
        <w:rPr>
          <w:w w:val="103"/>
          <w:kern w:val="14"/>
          <w:lang w:val="fr-FR"/>
        </w:rPr>
        <w:t>relatives</w:t>
      </w:r>
      <w:r w:rsidR="003B1C72">
        <w:rPr>
          <w:w w:val="103"/>
          <w:lang w:val="fr-FR"/>
        </w:rPr>
        <w:t xml:space="preserve"> à la politique et à la </w:t>
      </w:r>
      <w:r w:rsidRPr="003830FF">
        <w:rPr>
          <w:w w:val="103"/>
          <w:lang w:val="fr-FR"/>
        </w:rPr>
        <w:t>gouvernance</w:t>
      </w:r>
      <w:r w:rsidRPr="003830FF">
        <w:rPr>
          <w:w w:val="103"/>
          <w:kern w:val="14"/>
          <w:lang w:val="fr-FR"/>
        </w:rPr>
        <w:t xml:space="preserve"> internationales en matière d’environnement :</w:t>
      </w:r>
      <w:r w:rsidRPr="003830FF">
        <w:rPr>
          <w:lang w:val="fr-FR"/>
        </w:rPr>
        <w:t xml:space="preserve"> interface science-politique</w:t>
      </w:r>
    </w:p>
    <w:p w:rsidR="006C4C5E" w:rsidRPr="00C579D1" w:rsidRDefault="001455DA" w:rsidP="004C6575">
      <w:pPr>
        <w:pStyle w:val="BBTitle"/>
        <w:rPr>
          <w:lang w:val="fr-FR"/>
        </w:rPr>
      </w:pPr>
      <w:r w:rsidRPr="00C579D1">
        <w:rPr>
          <w:lang w:val="fr-FR"/>
        </w:rPr>
        <w:t>Ré</w:t>
      </w:r>
      <w:r w:rsidR="00CB504A" w:rsidRPr="00C579D1">
        <w:rPr>
          <w:lang w:val="fr-FR"/>
        </w:rPr>
        <w:t>solution</w:t>
      </w:r>
      <w:r w:rsidR="008D035A" w:rsidRPr="00C579D1">
        <w:rPr>
          <w:lang w:val="fr-FR"/>
        </w:rPr>
        <w:t> </w:t>
      </w:r>
      <w:r w:rsidR="00CB504A" w:rsidRPr="00C579D1">
        <w:rPr>
          <w:lang w:val="fr-FR"/>
        </w:rPr>
        <w:t>1/4</w:t>
      </w:r>
      <w:r w:rsidRPr="00C579D1">
        <w:rPr>
          <w:lang w:val="fr-FR"/>
        </w:rPr>
        <w:t> </w:t>
      </w:r>
      <w:r w:rsidR="00CB504A" w:rsidRPr="00C579D1">
        <w:rPr>
          <w:lang w:val="fr-FR"/>
        </w:rPr>
        <w:t xml:space="preserve">: </w:t>
      </w:r>
      <w:r w:rsidR="003B1C72">
        <w:rPr>
          <w:lang w:val="fr-FR"/>
        </w:rPr>
        <w:t>I</w:t>
      </w:r>
      <w:r w:rsidR="008D035A" w:rsidRPr="00C579D1">
        <w:rPr>
          <w:lang w:val="fr-FR"/>
        </w:rPr>
        <w:t xml:space="preserve">nterface </w:t>
      </w:r>
      <w:r w:rsidRPr="00C579D1">
        <w:rPr>
          <w:lang w:val="fr-FR"/>
        </w:rPr>
        <w:t>science-politique</w:t>
      </w:r>
    </w:p>
    <w:p w:rsidR="006C4C5E" w:rsidRPr="00C579D1" w:rsidRDefault="006C4C5E" w:rsidP="004C6575">
      <w:pPr>
        <w:pStyle w:val="CH2"/>
        <w:rPr>
          <w:lang w:val="fr-FR"/>
        </w:rPr>
      </w:pPr>
      <w:r w:rsidRPr="00C579D1">
        <w:rPr>
          <w:lang w:val="fr-FR"/>
        </w:rPr>
        <w:tab/>
      </w:r>
      <w:r w:rsidRPr="00C579D1">
        <w:rPr>
          <w:lang w:val="fr-FR"/>
        </w:rPr>
        <w:tab/>
        <w:t>R</w:t>
      </w:r>
      <w:r w:rsidR="001455DA" w:rsidRPr="00C579D1">
        <w:rPr>
          <w:lang w:val="fr-FR"/>
        </w:rPr>
        <w:t>ap</w:t>
      </w:r>
      <w:r w:rsidRPr="00C579D1">
        <w:rPr>
          <w:lang w:val="fr-FR"/>
        </w:rPr>
        <w:t xml:space="preserve">port </w:t>
      </w:r>
      <w:r w:rsidR="001455DA" w:rsidRPr="00C579D1">
        <w:rPr>
          <w:lang w:val="fr-FR"/>
        </w:rPr>
        <w:t>du Directeur exécutif</w:t>
      </w:r>
      <w:r w:rsidRPr="00C579D1">
        <w:rPr>
          <w:lang w:val="fr-FR"/>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4C6575" w:rsidRPr="00C579D1" w:rsidTr="000E3AF5">
        <w:tc>
          <w:tcPr>
            <w:tcW w:w="9064" w:type="dxa"/>
            <w:shd w:val="clear" w:color="auto" w:fill="auto"/>
          </w:tcPr>
          <w:p w:rsidR="004C6575" w:rsidRPr="00C579D1" w:rsidRDefault="001455DA" w:rsidP="00EA6A0D">
            <w:pPr>
              <w:pStyle w:val="BBTitle"/>
              <w:spacing w:before="120" w:after="120"/>
              <w:ind w:left="0"/>
              <w:rPr>
                <w:rFonts w:eastAsia="MS Mincho"/>
                <w:b w:val="0"/>
                <w:i/>
                <w:kern w:val="2"/>
                <w:sz w:val="24"/>
                <w:szCs w:val="24"/>
                <w:lang w:val="fr-FR"/>
              </w:rPr>
            </w:pPr>
            <w:r w:rsidRPr="00C579D1">
              <w:rPr>
                <w:rFonts w:eastAsia="MS Mincho"/>
                <w:b w:val="0"/>
                <w:i/>
                <w:kern w:val="2"/>
                <w:sz w:val="24"/>
                <w:szCs w:val="24"/>
                <w:lang w:val="fr-FR"/>
              </w:rPr>
              <w:t>Résumé</w:t>
            </w:r>
          </w:p>
          <w:p w:rsidR="002B34FA" w:rsidRPr="00C579D1" w:rsidRDefault="001455DA" w:rsidP="00EA6A0D">
            <w:pPr>
              <w:pStyle w:val="NormalNonumber"/>
              <w:tabs>
                <w:tab w:val="clear" w:pos="1247"/>
                <w:tab w:val="clear" w:pos="1814"/>
                <w:tab w:val="clear" w:pos="2381"/>
                <w:tab w:val="clear" w:pos="2948"/>
                <w:tab w:val="clear" w:pos="3515"/>
                <w:tab w:val="clear" w:pos="4082"/>
                <w:tab w:val="left" w:pos="624"/>
              </w:tabs>
              <w:ind w:firstLine="624"/>
              <w:rPr>
                <w:rFonts w:eastAsia="MS Mincho"/>
                <w:kern w:val="2"/>
                <w:lang w:val="fr-FR"/>
              </w:rPr>
            </w:pPr>
            <w:r w:rsidRPr="00C579D1">
              <w:rPr>
                <w:rFonts w:eastAsia="MS Mincho"/>
                <w:kern w:val="2"/>
                <w:lang w:val="fr-FR"/>
              </w:rPr>
              <w:t>Le présent rapport rend compte des progrès accomplis dans l’application de la résolution</w:t>
            </w:r>
            <w:r w:rsidR="00E8036D" w:rsidRPr="00C579D1">
              <w:rPr>
                <w:rFonts w:eastAsia="MS Mincho"/>
                <w:kern w:val="2"/>
                <w:lang w:val="fr-FR"/>
              </w:rPr>
              <w:t xml:space="preserve"> 1/4 de l’Assemblée des Nations Unies pour l’environnement </w:t>
            </w:r>
            <w:r w:rsidR="003830FF">
              <w:rPr>
                <w:rFonts w:eastAsia="MS Mincho"/>
                <w:kern w:val="2"/>
                <w:lang w:val="fr-FR"/>
              </w:rPr>
              <w:t>relatif à</w:t>
            </w:r>
            <w:r w:rsidR="00E8036D" w:rsidRPr="00C579D1">
              <w:rPr>
                <w:rFonts w:eastAsia="MS Mincho"/>
                <w:kern w:val="2"/>
                <w:lang w:val="fr-FR"/>
              </w:rPr>
              <w:t xml:space="preserve"> l’interface science-politique</w:t>
            </w:r>
            <w:r w:rsidR="00AF0BEA" w:rsidRPr="00C579D1">
              <w:rPr>
                <w:rFonts w:eastAsia="MS Mincho"/>
                <w:kern w:val="2"/>
                <w:lang w:val="fr-FR"/>
              </w:rPr>
              <w:t>,</w:t>
            </w:r>
            <w:r w:rsidR="00E8036D" w:rsidRPr="00C579D1">
              <w:rPr>
                <w:rFonts w:eastAsia="MS Mincho"/>
                <w:kern w:val="2"/>
                <w:lang w:val="fr-FR"/>
              </w:rPr>
              <w:t xml:space="preserve"> qui revêt une importance particulière eu égard aux indicateurs et données nécessaires pour la surveillance et </w:t>
            </w:r>
            <w:r w:rsidR="005F5DF7" w:rsidRPr="00C579D1">
              <w:rPr>
                <w:rFonts w:eastAsia="MS Mincho"/>
                <w:kern w:val="2"/>
                <w:lang w:val="fr-FR"/>
              </w:rPr>
              <w:t>l’établissement de rapports</w:t>
            </w:r>
            <w:r w:rsidR="00E8036D" w:rsidRPr="00C579D1">
              <w:rPr>
                <w:rFonts w:eastAsia="MS Mincho"/>
                <w:kern w:val="2"/>
                <w:lang w:val="fr-FR"/>
              </w:rPr>
              <w:t xml:space="preserve"> concernant</w:t>
            </w:r>
            <w:r w:rsidR="00AF0BEA" w:rsidRPr="00C579D1">
              <w:rPr>
                <w:rFonts w:eastAsia="MS Mincho"/>
                <w:kern w:val="2"/>
                <w:lang w:val="fr-FR"/>
              </w:rPr>
              <w:t xml:space="preserve"> </w:t>
            </w:r>
            <w:r w:rsidR="005F5DF7" w:rsidRPr="00C579D1">
              <w:rPr>
                <w:rFonts w:eastAsia="MS Mincho"/>
                <w:kern w:val="2"/>
                <w:lang w:val="fr-FR"/>
              </w:rPr>
              <w:t>la dimension environnementale du Programme de développement durable à l’horizon 2030</w:t>
            </w:r>
            <w:r w:rsidR="00AF0BEA" w:rsidRPr="00C579D1">
              <w:rPr>
                <w:rFonts w:eastAsia="MS Mincho"/>
                <w:kern w:val="2"/>
                <w:lang w:val="fr-FR"/>
              </w:rPr>
              <w:t xml:space="preserve">. </w:t>
            </w:r>
          </w:p>
          <w:p w:rsidR="00286C48" w:rsidRPr="00C579D1" w:rsidRDefault="00CA444E" w:rsidP="00EA6A0D">
            <w:pPr>
              <w:pStyle w:val="NormalNonumber"/>
              <w:tabs>
                <w:tab w:val="clear" w:pos="1247"/>
                <w:tab w:val="clear" w:pos="1814"/>
                <w:tab w:val="clear" w:pos="2381"/>
                <w:tab w:val="clear" w:pos="2948"/>
                <w:tab w:val="clear" w:pos="3515"/>
                <w:tab w:val="clear" w:pos="4082"/>
                <w:tab w:val="left" w:pos="624"/>
              </w:tabs>
              <w:ind w:firstLine="624"/>
              <w:rPr>
                <w:rFonts w:eastAsia="MS Mincho"/>
                <w:kern w:val="2"/>
                <w:lang w:val="fr-FR"/>
              </w:rPr>
            </w:pPr>
            <w:r w:rsidRPr="00C579D1">
              <w:rPr>
                <w:rFonts w:eastAsia="MS Mincho"/>
                <w:kern w:val="2"/>
                <w:lang w:val="fr-FR"/>
              </w:rPr>
              <w:t>Il</w:t>
            </w:r>
            <w:r w:rsidR="00AF0BEA" w:rsidRPr="00C579D1">
              <w:rPr>
                <w:rFonts w:eastAsia="MS Mincho"/>
                <w:kern w:val="2"/>
                <w:lang w:val="fr-FR"/>
              </w:rPr>
              <w:t xml:space="preserve"> </w:t>
            </w:r>
            <w:r w:rsidRPr="00C579D1">
              <w:rPr>
                <w:rFonts w:eastAsia="MS Mincho"/>
                <w:kern w:val="2"/>
                <w:lang w:val="fr-FR"/>
              </w:rPr>
              <w:t>contient des informations actualisées sur</w:t>
            </w:r>
            <w:r w:rsidR="002B34FA" w:rsidRPr="00C579D1">
              <w:rPr>
                <w:rFonts w:eastAsia="MS Mincho"/>
                <w:kern w:val="2"/>
                <w:lang w:val="fr-FR"/>
              </w:rPr>
              <w:t xml:space="preserve"> </w:t>
            </w:r>
            <w:r w:rsidR="00CD7A04" w:rsidRPr="00C579D1">
              <w:rPr>
                <w:rFonts w:eastAsia="MS Mincho"/>
                <w:kern w:val="2"/>
                <w:lang w:val="fr-FR"/>
              </w:rPr>
              <w:t xml:space="preserve">la plateforme </w:t>
            </w:r>
            <w:r w:rsidR="003B1C72">
              <w:rPr>
                <w:rFonts w:eastAsia="MS Mincho"/>
                <w:kern w:val="2"/>
                <w:lang w:val="fr-FR"/>
              </w:rPr>
              <w:t>« Le PNUE en direct », un </w:t>
            </w:r>
            <w:r w:rsidRPr="00C579D1">
              <w:rPr>
                <w:rFonts w:eastAsia="MS Mincho"/>
                <w:kern w:val="2"/>
                <w:lang w:val="fr-FR"/>
              </w:rPr>
              <w:t xml:space="preserve">système de gestion des connaissances en ligne qui fournit des données, des informations et des connaissances scientifiques contextualisées </w:t>
            </w:r>
            <w:r w:rsidR="00A71D05" w:rsidRPr="00C579D1">
              <w:rPr>
                <w:rFonts w:eastAsia="MS Mincho"/>
                <w:kern w:val="2"/>
                <w:lang w:val="fr-FR"/>
              </w:rPr>
              <w:t>afin de</w:t>
            </w:r>
            <w:r w:rsidR="00AF0BEA" w:rsidRPr="00C579D1">
              <w:rPr>
                <w:rFonts w:eastAsia="MS Mincho"/>
                <w:kern w:val="2"/>
                <w:lang w:val="fr-FR"/>
              </w:rPr>
              <w:t xml:space="preserve"> </w:t>
            </w:r>
            <w:r w:rsidR="00A71D05" w:rsidRPr="00C579D1">
              <w:rPr>
                <w:rFonts w:eastAsia="MS Mincho"/>
                <w:kern w:val="2"/>
                <w:lang w:val="fr-FR"/>
              </w:rPr>
              <w:t>surveiller l’état de l’environnement</w:t>
            </w:r>
            <w:r w:rsidR="00CC11BF">
              <w:rPr>
                <w:rFonts w:eastAsia="MS Mincho"/>
                <w:kern w:val="2"/>
                <w:lang w:val="fr-FR"/>
              </w:rPr>
              <w:t>,</w:t>
            </w:r>
            <w:r w:rsidR="00A71D05" w:rsidRPr="00C579D1">
              <w:rPr>
                <w:rFonts w:eastAsia="MS Mincho"/>
                <w:kern w:val="2"/>
                <w:lang w:val="fr-FR"/>
              </w:rPr>
              <w:t xml:space="preserve"> </w:t>
            </w:r>
            <w:r w:rsidR="003830FF">
              <w:rPr>
                <w:rFonts w:eastAsia="MS Mincho"/>
                <w:kern w:val="2"/>
                <w:lang w:val="fr-FR"/>
              </w:rPr>
              <w:t xml:space="preserve">et présente la manière dont est planifié le </w:t>
            </w:r>
            <w:r w:rsidR="00A71D05" w:rsidRPr="00C579D1">
              <w:rPr>
                <w:rFonts w:eastAsia="MS Mincho"/>
                <w:kern w:val="2"/>
                <w:lang w:val="fr-FR"/>
              </w:rPr>
              <w:t>développement à long terme</w:t>
            </w:r>
            <w:r w:rsidR="00E67D0C" w:rsidRPr="00C579D1">
              <w:rPr>
                <w:rFonts w:eastAsia="MS Mincho"/>
                <w:kern w:val="2"/>
                <w:lang w:val="fr-FR"/>
              </w:rPr>
              <w:t xml:space="preserve"> de ce système</w:t>
            </w:r>
            <w:r w:rsidR="002B34FA" w:rsidRPr="00C579D1">
              <w:rPr>
                <w:rFonts w:eastAsia="MS Mincho"/>
                <w:kern w:val="2"/>
                <w:lang w:val="fr-FR"/>
              </w:rPr>
              <w:t xml:space="preserve">. </w:t>
            </w:r>
            <w:r w:rsidR="003B1C72">
              <w:rPr>
                <w:rFonts w:eastAsia="MS Mincho"/>
                <w:kern w:val="2"/>
                <w:lang w:val="fr-FR"/>
              </w:rPr>
              <w:t>« Le </w:t>
            </w:r>
            <w:r w:rsidR="00E67D0C" w:rsidRPr="00C579D1">
              <w:rPr>
                <w:rFonts w:eastAsia="MS Mincho"/>
                <w:kern w:val="2"/>
                <w:lang w:val="fr-FR"/>
              </w:rPr>
              <w:t>PNUE en direct » est de plus en plus utilisé pour étayer diverses évaluations, notamment les six évaluations régionales qui</w:t>
            </w:r>
            <w:r w:rsidR="004C6575" w:rsidRPr="00C579D1">
              <w:rPr>
                <w:rFonts w:eastAsia="MS Mincho"/>
                <w:kern w:val="2"/>
                <w:lang w:val="fr-FR"/>
              </w:rPr>
              <w:t xml:space="preserve"> </w:t>
            </w:r>
            <w:r w:rsidR="003830FF">
              <w:rPr>
                <w:rFonts w:eastAsia="MS Mincho"/>
                <w:kern w:val="2"/>
                <w:lang w:val="fr-FR"/>
              </w:rPr>
              <w:t xml:space="preserve">constitueront l’ossature </w:t>
            </w:r>
            <w:r w:rsidR="00CD7A04" w:rsidRPr="00C579D1">
              <w:rPr>
                <w:rFonts w:eastAsia="MS Mincho"/>
                <w:kern w:val="2"/>
                <w:lang w:val="fr-FR"/>
              </w:rPr>
              <w:t xml:space="preserve">du sixième rapport de la Série </w:t>
            </w:r>
            <w:r w:rsidR="004871D3" w:rsidRPr="00C579D1">
              <w:rPr>
                <w:rFonts w:eastAsia="MS Mincho"/>
                <w:i/>
                <w:kern w:val="2"/>
                <w:lang w:val="fr-FR"/>
              </w:rPr>
              <w:t>L’</w:t>
            </w:r>
            <w:r w:rsidR="00CD7A04" w:rsidRPr="00C579D1">
              <w:rPr>
                <w:rFonts w:eastAsia="MS Mincho"/>
                <w:i/>
                <w:kern w:val="2"/>
                <w:lang w:val="fr-FR"/>
              </w:rPr>
              <w:t xml:space="preserve">Avenir de l’environnement mondial </w:t>
            </w:r>
            <w:r w:rsidR="00654AAE" w:rsidRPr="00C579D1">
              <w:rPr>
                <w:rFonts w:eastAsia="MS Mincho"/>
                <w:kern w:val="2"/>
                <w:lang w:val="fr-FR"/>
              </w:rPr>
              <w:t>(GEO-6) du Programme des Nations Unies pour l’environnement (PNUE)</w:t>
            </w:r>
            <w:r w:rsidR="002B34FA" w:rsidRPr="00C579D1">
              <w:rPr>
                <w:rFonts w:eastAsia="MS Mincho"/>
                <w:kern w:val="2"/>
                <w:lang w:val="fr-FR"/>
              </w:rPr>
              <w:t xml:space="preserve">. </w:t>
            </w:r>
            <w:r w:rsidR="00D05576" w:rsidRPr="00C579D1">
              <w:rPr>
                <w:rFonts w:eastAsia="MS Mincho"/>
                <w:kern w:val="2"/>
                <w:lang w:val="fr-FR"/>
              </w:rPr>
              <w:t>De plus</w:t>
            </w:r>
            <w:r w:rsidR="00654AAE" w:rsidRPr="00C579D1">
              <w:rPr>
                <w:rFonts w:eastAsia="MS Mincho"/>
                <w:kern w:val="2"/>
                <w:lang w:val="fr-FR"/>
              </w:rPr>
              <w:t xml:space="preserve">, le rapport fournit des informations </w:t>
            </w:r>
            <w:r w:rsidR="00CD7A04" w:rsidRPr="00C579D1">
              <w:rPr>
                <w:rFonts w:eastAsia="MS Mincho"/>
                <w:kern w:val="2"/>
                <w:lang w:val="fr-FR"/>
              </w:rPr>
              <w:t xml:space="preserve">actualisées </w:t>
            </w:r>
            <w:r w:rsidR="00654AAE" w:rsidRPr="00C579D1">
              <w:rPr>
                <w:rFonts w:eastAsia="MS Mincho"/>
                <w:kern w:val="2"/>
                <w:lang w:val="fr-FR"/>
              </w:rPr>
              <w:t>sur d’autres évaluations achevées, en cours ou prévues ainsi que sur un certain nombre d’autres</w:t>
            </w:r>
            <w:r w:rsidR="002B34FA" w:rsidRPr="00C579D1">
              <w:rPr>
                <w:rFonts w:eastAsia="MS Mincho"/>
                <w:kern w:val="2"/>
                <w:lang w:val="fr-FR"/>
              </w:rPr>
              <w:t xml:space="preserve"> </w:t>
            </w:r>
            <w:r w:rsidR="00654AAE" w:rsidRPr="00C579D1">
              <w:rPr>
                <w:rFonts w:eastAsia="MS Mincho"/>
                <w:kern w:val="2"/>
                <w:lang w:val="fr-FR"/>
              </w:rPr>
              <w:t>processus d’établissement de rapports</w:t>
            </w:r>
            <w:r w:rsidR="00286C48" w:rsidRPr="00C579D1">
              <w:rPr>
                <w:rFonts w:eastAsia="MS Mincho"/>
                <w:kern w:val="2"/>
                <w:lang w:val="fr-FR"/>
              </w:rPr>
              <w:t xml:space="preserve">. </w:t>
            </w:r>
          </w:p>
          <w:p w:rsidR="004C6575" w:rsidRPr="00C579D1" w:rsidRDefault="00D05576" w:rsidP="003830FF">
            <w:pPr>
              <w:pStyle w:val="NormalNonumber"/>
              <w:tabs>
                <w:tab w:val="clear" w:pos="1247"/>
                <w:tab w:val="clear" w:pos="1814"/>
                <w:tab w:val="clear" w:pos="2381"/>
                <w:tab w:val="clear" w:pos="2948"/>
                <w:tab w:val="clear" w:pos="3515"/>
                <w:tab w:val="clear" w:pos="4082"/>
                <w:tab w:val="left" w:pos="624"/>
              </w:tabs>
              <w:ind w:firstLine="624"/>
              <w:rPr>
                <w:rFonts w:ascii="Century" w:eastAsia="MS Mincho" w:hAnsi="Century"/>
                <w:b/>
                <w:kern w:val="2"/>
                <w:sz w:val="21"/>
                <w:szCs w:val="22"/>
                <w:lang w:val="fr-FR"/>
              </w:rPr>
            </w:pPr>
            <w:r w:rsidRPr="00C579D1">
              <w:rPr>
                <w:rFonts w:eastAsia="MS Mincho"/>
                <w:kern w:val="2"/>
                <w:lang w:val="fr-FR"/>
              </w:rPr>
              <w:t>L</w:t>
            </w:r>
            <w:r w:rsidR="006B7846" w:rsidRPr="00C579D1">
              <w:rPr>
                <w:rFonts w:eastAsia="MS Mincho"/>
                <w:kern w:val="2"/>
                <w:lang w:val="fr-FR"/>
              </w:rPr>
              <w:t>e rapport</w:t>
            </w:r>
            <w:r w:rsidRPr="00C579D1">
              <w:rPr>
                <w:rFonts w:eastAsia="MS Mincho"/>
                <w:kern w:val="2"/>
                <w:lang w:val="fr-FR"/>
              </w:rPr>
              <w:t xml:space="preserve"> </w:t>
            </w:r>
            <w:r w:rsidR="00DE551A" w:rsidRPr="00C579D1">
              <w:rPr>
                <w:rFonts w:eastAsia="MS Mincho"/>
                <w:kern w:val="2"/>
                <w:lang w:val="fr-FR"/>
              </w:rPr>
              <w:t>traite</w:t>
            </w:r>
            <w:r w:rsidRPr="00C579D1">
              <w:rPr>
                <w:rFonts w:eastAsia="MS Mincho"/>
                <w:kern w:val="2"/>
                <w:lang w:val="fr-FR"/>
              </w:rPr>
              <w:t xml:space="preserve"> également de</w:t>
            </w:r>
            <w:r w:rsidR="00805E26" w:rsidRPr="00C579D1">
              <w:rPr>
                <w:rFonts w:eastAsia="MS Mincho"/>
                <w:kern w:val="2"/>
                <w:lang w:val="fr-FR"/>
              </w:rPr>
              <w:t>s</w:t>
            </w:r>
            <w:r w:rsidRPr="00C579D1">
              <w:rPr>
                <w:rFonts w:eastAsia="MS Mincho"/>
                <w:kern w:val="2"/>
                <w:lang w:val="fr-FR"/>
              </w:rPr>
              <w:t xml:space="preserve"> communications, de</w:t>
            </w:r>
            <w:r w:rsidR="00805E26" w:rsidRPr="00C579D1">
              <w:rPr>
                <w:rFonts w:eastAsia="MS Mincho"/>
                <w:kern w:val="2"/>
                <w:lang w:val="fr-FR"/>
              </w:rPr>
              <w:t>s</w:t>
            </w:r>
            <w:r w:rsidRPr="00C579D1">
              <w:rPr>
                <w:rFonts w:eastAsia="MS Mincho"/>
                <w:kern w:val="2"/>
                <w:lang w:val="fr-FR"/>
              </w:rPr>
              <w:t xml:space="preserve"> partenariats tels que</w:t>
            </w:r>
            <w:r w:rsidR="00EE6E36" w:rsidRPr="00C579D1">
              <w:rPr>
                <w:rFonts w:eastAsia="MS Mincho"/>
                <w:kern w:val="2"/>
                <w:lang w:val="fr-FR"/>
              </w:rPr>
              <w:t xml:space="preserve"> </w:t>
            </w:r>
            <w:r w:rsidRPr="00C579D1">
              <w:rPr>
                <w:rFonts w:eastAsia="MS Mincho"/>
                <w:kern w:val="2"/>
                <w:lang w:val="fr-FR"/>
              </w:rPr>
              <w:t>l’Alliance « Eye on</w:t>
            </w:r>
            <w:r w:rsidR="002B34FA" w:rsidRPr="00C579D1">
              <w:rPr>
                <w:rFonts w:eastAsia="MS Mincho"/>
                <w:kern w:val="2"/>
                <w:lang w:val="fr-FR"/>
              </w:rPr>
              <w:t xml:space="preserve"> Earth</w:t>
            </w:r>
            <w:r w:rsidR="00DE551A" w:rsidRPr="00C579D1">
              <w:rPr>
                <w:rFonts w:eastAsia="MS Mincho"/>
                <w:kern w:val="2"/>
                <w:lang w:val="fr-FR"/>
              </w:rPr>
              <w:t> »</w:t>
            </w:r>
            <w:r w:rsidRPr="00C579D1">
              <w:rPr>
                <w:rFonts w:eastAsia="MS Mincho"/>
                <w:kern w:val="2"/>
                <w:lang w:val="fr-FR"/>
              </w:rPr>
              <w:t>, de</w:t>
            </w:r>
            <w:r w:rsidR="00805E26" w:rsidRPr="00C579D1">
              <w:rPr>
                <w:rFonts w:eastAsia="MS Mincho"/>
                <w:kern w:val="2"/>
                <w:lang w:val="fr-FR"/>
              </w:rPr>
              <w:t>s</w:t>
            </w:r>
            <w:r w:rsidRPr="00C579D1">
              <w:rPr>
                <w:rFonts w:eastAsia="MS Mincho"/>
                <w:kern w:val="2"/>
                <w:lang w:val="fr-FR"/>
              </w:rPr>
              <w:t xml:space="preserve"> lacunes en matière de données</w:t>
            </w:r>
            <w:r w:rsidR="00DE551A" w:rsidRPr="00C579D1">
              <w:rPr>
                <w:rFonts w:eastAsia="MS Mincho"/>
                <w:kern w:val="2"/>
                <w:lang w:val="fr-FR"/>
              </w:rPr>
              <w:t xml:space="preserve"> et de</w:t>
            </w:r>
            <w:r w:rsidR="00805E26" w:rsidRPr="00C579D1">
              <w:rPr>
                <w:rFonts w:eastAsia="MS Mincho"/>
                <w:kern w:val="2"/>
                <w:lang w:val="fr-FR"/>
              </w:rPr>
              <w:t>s</w:t>
            </w:r>
            <w:r w:rsidR="00DE551A" w:rsidRPr="00C579D1">
              <w:rPr>
                <w:rFonts w:eastAsia="MS Mincho"/>
                <w:kern w:val="2"/>
                <w:lang w:val="fr-FR"/>
              </w:rPr>
              <w:t xml:space="preserve"> progrès accomplis </w:t>
            </w:r>
            <w:r w:rsidR="00CD7A04" w:rsidRPr="00C579D1">
              <w:rPr>
                <w:rFonts w:eastAsia="MS Mincho"/>
                <w:kern w:val="2"/>
                <w:lang w:val="fr-FR"/>
              </w:rPr>
              <w:t xml:space="preserve">dans la réalisation des </w:t>
            </w:r>
            <w:r w:rsidR="00DE551A" w:rsidRPr="00C579D1">
              <w:rPr>
                <w:rFonts w:eastAsia="MS Mincho"/>
                <w:kern w:val="2"/>
                <w:lang w:val="fr-FR"/>
              </w:rPr>
              <w:t xml:space="preserve">objectifs environnementaux convenus au niveau international et </w:t>
            </w:r>
            <w:r w:rsidR="00CD7A04" w:rsidRPr="00C579D1">
              <w:rPr>
                <w:rFonts w:eastAsia="MS Mincho"/>
                <w:kern w:val="2"/>
                <w:lang w:val="fr-FR"/>
              </w:rPr>
              <w:t>la mise en place d</w:t>
            </w:r>
            <w:r w:rsidR="003830FF">
              <w:rPr>
                <w:rFonts w:eastAsia="MS Mincho"/>
                <w:kern w:val="2"/>
                <w:lang w:val="fr-FR"/>
              </w:rPr>
              <w:t xml:space="preserve">’instruments politiques permettant </w:t>
            </w:r>
            <w:r w:rsidR="00CD7A04" w:rsidRPr="00C579D1">
              <w:rPr>
                <w:rFonts w:eastAsia="MS Mincho"/>
                <w:kern w:val="2"/>
                <w:lang w:val="fr-FR"/>
              </w:rPr>
              <w:t xml:space="preserve">de </w:t>
            </w:r>
            <w:r w:rsidR="00DE551A" w:rsidRPr="00C579D1">
              <w:rPr>
                <w:rFonts w:eastAsia="MS Mincho"/>
                <w:kern w:val="2"/>
                <w:lang w:val="fr-FR"/>
              </w:rPr>
              <w:t>renforcer l’interface science-politique</w:t>
            </w:r>
            <w:r w:rsidR="002B34FA" w:rsidRPr="00C579D1">
              <w:rPr>
                <w:rFonts w:eastAsia="MS Mincho"/>
                <w:kern w:val="2"/>
                <w:lang w:val="fr-FR"/>
              </w:rPr>
              <w:t>.</w:t>
            </w:r>
            <w:r w:rsidR="00DD0628" w:rsidRPr="00C579D1">
              <w:rPr>
                <w:rFonts w:eastAsia="MS Mincho"/>
                <w:kern w:val="2"/>
                <w:lang w:val="fr-FR"/>
              </w:rPr>
              <w:t xml:space="preserve"> </w:t>
            </w:r>
          </w:p>
        </w:tc>
      </w:tr>
    </w:tbl>
    <w:p w:rsidR="006C4C5E" w:rsidRPr="00C579D1" w:rsidRDefault="00012C16" w:rsidP="00480C2E">
      <w:pPr>
        <w:pStyle w:val="CH1"/>
        <w:rPr>
          <w:lang w:val="fr-FR"/>
        </w:rPr>
      </w:pPr>
      <w:r w:rsidRPr="00C579D1">
        <w:rPr>
          <w:lang w:val="fr-FR"/>
        </w:rPr>
        <w:br w:type="page"/>
      </w:r>
      <w:r w:rsidR="00361657" w:rsidRPr="00C579D1">
        <w:rPr>
          <w:lang w:val="fr-FR"/>
        </w:rPr>
        <w:lastRenderedPageBreak/>
        <w:tab/>
        <w:t>I.</w:t>
      </w:r>
      <w:r w:rsidR="00361657" w:rsidRPr="00C579D1">
        <w:rPr>
          <w:lang w:val="fr-FR"/>
        </w:rPr>
        <w:tab/>
      </w:r>
      <w:r w:rsidR="006C4C5E" w:rsidRPr="00C579D1">
        <w:rPr>
          <w:lang w:val="fr-FR"/>
        </w:rPr>
        <w:t>Introduction</w:t>
      </w:r>
    </w:p>
    <w:p w:rsidR="00B16611" w:rsidRPr="00C579D1" w:rsidRDefault="00DE551A" w:rsidP="006A33EE">
      <w:pPr>
        <w:pStyle w:val="Normalnumber"/>
        <w:tabs>
          <w:tab w:val="clear" w:pos="967"/>
          <w:tab w:val="clear" w:pos="1247"/>
          <w:tab w:val="clear" w:pos="1871"/>
          <w:tab w:val="left" w:pos="1843"/>
        </w:tabs>
        <w:ind w:left="1260"/>
        <w:rPr>
          <w:lang w:val="fr-FR"/>
        </w:rPr>
      </w:pPr>
      <w:r w:rsidRPr="00C579D1">
        <w:rPr>
          <w:lang w:val="fr-FR"/>
        </w:rPr>
        <w:t>La s</w:t>
      </w:r>
      <w:r w:rsidR="00B16611" w:rsidRPr="00C579D1">
        <w:rPr>
          <w:lang w:val="fr-FR"/>
        </w:rPr>
        <w:t xml:space="preserve">cience </w:t>
      </w:r>
      <w:r w:rsidR="00840629">
        <w:rPr>
          <w:lang w:val="fr-FR"/>
        </w:rPr>
        <w:t>joue un rôle</w:t>
      </w:r>
      <w:r w:rsidRPr="00C579D1">
        <w:rPr>
          <w:lang w:val="fr-FR"/>
        </w:rPr>
        <w:t xml:space="preserve"> fondamentale pour </w:t>
      </w:r>
      <w:r w:rsidR="00CD7A04" w:rsidRPr="00C579D1">
        <w:rPr>
          <w:lang w:val="fr-FR"/>
        </w:rPr>
        <w:t xml:space="preserve">apporter </w:t>
      </w:r>
      <w:r w:rsidRPr="00C579D1">
        <w:rPr>
          <w:lang w:val="fr-FR"/>
        </w:rPr>
        <w:t xml:space="preserve">des réponses </w:t>
      </w:r>
      <w:r w:rsidR="00CD7A04" w:rsidRPr="00C579D1">
        <w:rPr>
          <w:lang w:val="fr-FR"/>
        </w:rPr>
        <w:t xml:space="preserve">quant à </w:t>
      </w:r>
      <w:r w:rsidR="00A64D9B" w:rsidRPr="00C579D1">
        <w:rPr>
          <w:lang w:val="fr-FR"/>
        </w:rPr>
        <w:t>la manière de relever certains des plus grands défis du</w:t>
      </w:r>
      <w:r w:rsidR="00B16611" w:rsidRPr="00C579D1">
        <w:rPr>
          <w:lang w:val="fr-FR"/>
        </w:rPr>
        <w:t xml:space="preserve"> </w:t>
      </w:r>
      <w:r w:rsidR="00A64D9B" w:rsidRPr="00C579D1">
        <w:rPr>
          <w:lang w:val="fr-FR"/>
        </w:rPr>
        <w:t>XXI</w:t>
      </w:r>
      <w:r w:rsidR="00A64D9B" w:rsidRPr="00C579D1">
        <w:rPr>
          <w:vertAlign w:val="superscript"/>
          <w:lang w:val="fr-FR"/>
        </w:rPr>
        <w:t>e</w:t>
      </w:r>
      <w:r w:rsidR="00A64D9B" w:rsidRPr="00C579D1">
        <w:rPr>
          <w:lang w:val="fr-FR"/>
        </w:rPr>
        <w:t> siècle dans le contexte du développement durable</w:t>
      </w:r>
      <w:r w:rsidR="00B16611" w:rsidRPr="00C579D1">
        <w:rPr>
          <w:lang w:val="fr-FR"/>
        </w:rPr>
        <w:t>.</w:t>
      </w:r>
      <w:r w:rsidR="00295AE2" w:rsidRPr="00C579D1">
        <w:rPr>
          <w:lang w:val="fr-FR"/>
        </w:rPr>
        <w:t xml:space="preserve"> </w:t>
      </w:r>
      <w:r w:rsidR="005D2743" w:rsidRPr="00C579D1">
        <w:rPr>
          <w:lang w:val="fr-FR"/>
        </w:rPr>
        <w:t xml:space="preserve">La surveillance de l’état de l’environnement et l’information de la société concernant les risques ainsi que les opportunités liés aux technologies modernes et </w:t>
      </w:r>
      <w:r w:rsidR="0077671C" w:rsidRPr="00C579D1">
        <w:rPr>
          <w:lang w:val="fr-FR"/>
        </w:rPr>
        <w:t xml:space="preserve">aux </w:t>
      </w:r>
      <w:r w:rsidR="005D2743" w:rsidRPr="00C579D1">
        <w:rPr>
          <w:lang w:val="fr-FR"/>
        </w:rPr>
        <w:t xml:space="preserve">nouvelles connaissances </w:t>
      </w:r>
      <w:r w:rsidR="00CD7A04" w:rsidRPr="00C579D1">
        <w:rPr>
          <w:lang w:val="fr-FR"/>
        </w:rPr>
        <w:t xml:space="preserve">occupent une place centrale dans le </w:t>
      </w:r>
      <w:r w:rsidR="0077671C" w:rsidRPr="00C579D1">
        <w:rPr>
          <w:lang w:val="fr-FR"/>
        </w:rPr>
        <w:t>mandat du PNUE</w:t>
      </w:r>
      <w:r w:rsidR="00B16611" w:rsidRPr="00C579D1">
        <w:rPr>
          <w:lang w:val="fr-FR"/>
        </w:rPr>
        <w:t xml:space="preserve">. </w:t>
      </w:r>
      <w:r w:rsidR="003B1C72">
        <w:rPr>
          <w:lang w:val="fr-FR"/>
        </w:rPr>
        <w:t xml:space="preserve">Comprendre </w:t>
      </w:r>
      <w:r w:rsidR="00840629">
        <w:rPr>
          <w:lang w:val="fr-FR"/>
        </w:rPr>
        <w:t>comment</w:t>
      </w:r>
      <w:r w:rsidR="00B70BF9" w:rsidRPr="00C579D1">
        <w:rPr>
          <w:lang w:val="fr-FR"/>
        </w:rPr>
        <w:t xml:space="preserve"> la science peut aider à éclairer la prise de décisions et à renforcer</w:t>
      </w:r>
      <w:r w:rsidR="00B16611" w:rsidRPr="00C579D1">
        <w:rPr>
          <w:lang w:val="fr-FR"/>
        </w:rPr>
        <w:t xml:space="preserve"> </w:t>
      </w:r>
      <w:r w:rsidR="00B70BF9" w:rsidRPr="00C579D1">
        <w:rPr>
          <w:lang w:val="fr-FR"/>
        </w:rPr>
        <w:t>l’interface science-politique est au cœur de</w:t>
      </w:r>
      <w:r w:rsidR="00CD7A04" w:rsidRPr="00C579D1">
        <w:rPr>
          <w:lang w:val="fr-FR"/>
        </w:rPr>
        <w:t>s travaux du PNUE dans toute l’O</w:t>
      </w:r>
      <w:r w:rsidR="00B70BF9" w:rsidRPr="00C579D1">
        <w:rPr>
          <w:lang w:val="fr-FR"/>
        </w:rPr>
        <w:t>rganisation</w:t>
      </w:r>
      <w:r w:rsidR="001571DF" w:rsidRPr="00C579D1">
        <w:rPr>
          <w:lang w:val="fr-FR"/>
        </w:rPr>
        <w:t xml:space="preserve">. </w:t>
      </w:r>
      <w:r w:rsidR="00F96A74" w:rsidRPr="00C579D1">
        <w:rPr>
          <w:lang w:val="fr-FR"/>
        </w:rPr>
        <w:t>Ce</w:t>
      </w:r>
      <w:r w:rsidR="00840629">
        <w:rPr>
          <w:lang w:val="fr-FR"/>
        </w:rPr>
        <w:t>la e</w:t>
      </w:r>
      <w:r w:rsidR="00F96A74" w:rsidRPr="00C579D1">
        <w:rPr>
          <w:lang w:val="fr-FR"/>
        </w:rPr>
        <w:t>st également essentiel pour l’évolution d’un grand nombre de politiques et de plans de gestion environnementale efficaces</w:t>
      </w:r>
      <w:r w:rsidR="00B16611" w:rsidRPr="00C579D1">
        <w:rPr>
          <w:lang w:val="fr-FR"/>
        </w:rPr>
        <w:t>.</w:t>
      </w:r>
      <w:r w:rsidR="0099235E" w:rsidRPr="00C579D1">
        <w:rPr>
          <w:lang w:val="fr-FR"/>
        </w:rPr>
        <w:t xml:space="preserve"> D</w:t>
      </w:r>
      <w:r w:rsidR="00F96A74" w:rsidRPr="00C579D1">
        <w:rPr>
          <w:lang w:val="fr-FR"/>
        </w:rPr>
        <w:t>es incidences sur l’environnement ne sont souvent apparues que de nombreuses années</w:t>
      </w:r>
      <w:r w:rsidR="0099235E" w:rsidRPr="00C579D1">
        <w:rPr>
          <w:lang w:val="fr-FR"/>
        </w:rPr>
        <w:t xml:space="preserve"> après l’introduction de nouveaux produits ou de nouvelles substances, </w:t>
      </w:r>
      <w:r w:rsidR="00CD7A04" w:rsidRPr="00C579D1">
        <w:rPr>
          <w:lang w:val="fr-FR"/>
        </w:rPr>
        <w:t xml:space="preserve">ce qui montre qu’il faut </w:t>
      </w:r>
      <w:r w:rsidR="0099235E" w:rsidRPr="00C579D1">
        <w:rPr>
          <w:lang w:val="fr-FR"/>
        </w:rPr>
        <w:t>constamment examiner, évaluer et appliquer la science pour le bien de l’environnement</w:t>
      </w:r>
      <w:r w:rsidR="00426BD0" w:rsidRPr="00C579D1">
        <w:rPr>
          <w:lang w:val="fr-FR"/>
        </w:rPr>
        <w:t>,</w:t>
      </w:r>
      <w:r w:rsidR="0099235E" w:rsidRPr="00C579D1">
        <w:rPr>
          <w:lang w:val="fr-FR"/>
        </w:rPr>
        <w:t xml:space="preserve"> en expliquant </w:t>
      </w:r>
      <w:r w:rsidR="00426BD0" w:rsidRPr="00C579D1">
        <w:rPr>
          <w:lang w:val="fr-FR"/>
        </w:rPr>
        <w:t>son importance aux décideurs et au grand public</w:t>
      </w:r>
      <w:r w:rsidR="00B16611" w:rsidRPr="00C579D1">
        <w:rPr>
          <w:lang w:val="fr-FR"/>
        </w:rPr>
        <w:t xml:space="preserve">. </w:t>
      </w:r>
    </w:p>
    <w:p w:rsidR="006C4C5E" w:rsidRPr="00C579D1" w:rsidRDefault="00426BD0" w:rsidP="006A33EE">
      <w:pPr>
        <w:pStyle w:val="Normalnumber"/>
        <w:tabs>
          <w:tab w:val="clear" w:pos="967"/>
          <w:tab w:val="clear" w:pos="1247"/>
          <w:tab w:val="clear" w:pos="1871"/>
          <w:tab w:val="left" w:pos="1843"/>
        </w:tabs>
        <w:ind w:left="1260"/>
        <w:rPr>
          <w:lang w:val="fr-FR"/>
        </w:rPr>
      </w:pPr>
      <w:r w:rsidRPr="00C579D1">
        <w:rPr>
          <w:lang w:val="fr-FR"/>
        </w:rPr>
        <w:t xml:space="preserve">Le présent rapport vise à fournir à l’Assemblée des Nations Unies pour l’environnement du </w:t>
      </w:r>
      <w:r w:rsidR="00840629">
        <w:rPr>
          <w:lang w:val="fr-FR"/>
        </w:rPr>
        <w:t>Programme des Nations Unies pour l’environnement (</w:t>
      </w:r>
      <w:r w:rsidRPr="00C579D1">
        <w:rPr>
          <w:lang w:val="fr-FR"/>
        </w:rPr>
        <w:t>PNUE</w:t>
      </w:r>
      <w:r w:rsidR="00840629">
        <w:rPr>
          <w:lang w:val="fr-FR"/>
        </w:rPr>
        <w:t>)</w:t>
      </w:r>
      <w:r w:rsidRPr="00C579D1">
        <w:rPr>
          <w:lang w:val="fr-FR"/>
        </w:rPr>
        <w:t>, à sa deuxième session, un aperçu des mesures que le PNUE a prises afin de renforcer l’interface science-politique conformément à la résolution </w:t>
      </w:r>
      <w:r w:rsidR="00C57ADE" w:rsidRPr="00C579D1">
        <w:rPr>
          <w:lang w:val="fr-FR"/>
        </w:rPr>
        <w:t>1/4</w:t>
      </w:r>
      <w:r w:rsidRPr="00C579D1">
        <w:rPr>
          <w:lang w:val="fr-FR"/>
        </w:rPr>
        <w:t xml:space="preserve"> et </w:t>
      </w:r>
      <w:r w:rsidR="00E9551A" w:rsidRPr="00C579D1">
        <w:rPr>
          <w:lang w:val="fr-FR"/>
        </w:rPr>
        <w:t>comme demandé aux paragraphes 48, 76 g), 85 k), 88 d) et 276 du document final de la Conférence des Nations Uni</w:t>
      </w:r>
      <w:r w:rsidR="00840629">
        <w:rPr>
          <w:lang w:val="fr-FR"/>
        </w:rPr>
        <w:t>es sur le développement durable</w:t>
      </w:r>
      <w:r w:rsidR="00E9551A" w:rsidRPr="00C579D1">
        <w:rPr>
          <w:lang w:val="fr-FR"/>
        </w:rPr>
        <w:t xml:space="preserve"> « L’avenir que nous voulons »</w:t>
      </w:r>
      <w:r w:rsidR="00C57ADE" w:rsidRPr="00C579D1">
        <w:rPr>
          <w:lang w:val="fr-FR"/>
        </w:rPr>
        <w:t xml:space="preserve">, </w:t>
      </w:r>
      <w:r w:rsidR="00E9551A" w:rsidRPr="00C579D1">
        <w:rPr>
          <w:lang w:val="fr-FR"/>
        </w:rPr>
        <w:t xml:space="preserve">adopté par l’Assemblée générale dans sa résolution 66/288 </w:t>
      </w:r>
      <w:r w:rsidR="00C718F5" w:rsidRPr="00C579D1">
        <w:rPr>
          <w:lang w:val="fr-FR"/>
        </w:rPr>
        <w:t>et dans la décision</w:t>
      </w:r>
      <w:r w:rsidR="00223DEE" w:rsidRPr="00C579D1">
        <w:rPr>
          <w:lang w:val="fr-FR"/>
        </w:rPr>
        <w:t> </w:t>
      </w:r>
      <w:r w:rsidR="006C4C5E" w:rsidRPr="00C579D1">
        <w:rPr>
          <w:lang w:val="fr-FR"/>
        </w:rPr>
        <w:t>27/2</w:t>
      </w:r>
      <w:r w:rsidR="00223DEE" w:rsidRPr="00C579D1">
        <w:rPr>
          <w:lang w:val="fr-FR"/>
        </w:rPr>
        <w:t xml:space="preserve"> </w:t>
      </w:r>
      <w:r w:rsidR="00840629" w:rsidRPr="00C579D1">
        <w:rPr>
          <w:lang w:val="fr-FR"/>
        </w:rPr>
        <w:t>de février 2013</w:t>
      </w:r>
      <w:r w:rsidR="00840629">
        <w:rPr>
          <w:lang w:val="fr-FR"/>
        </w:rPr>
        <w:t xml:space="preserve"> </w:t>
      </w:r>
      <w:r w:rsidR="00223DEE" w:rsidRPr="00C579D1">
        <w:rPr>
          <w:lang w:val="fr-FR"/>
        </w:rPr>
        <w:t>du Conseil d’administration</w:t>
      </w:r>
      <w:r w:rsidR="006C4C5E" w:rsidRPr="00C579D1">
        <w:rPr>
          <w:lang w:val="fr-FR"/>
        </w:rPr>
        <w:t>.</w:t>
      </w:r>
      <w:r w:rsidR="00223DEE" w:rsidRPr="00C579D1">
        <w:rPr>
          <w:lang w:val="fr-FR"/>
        </w:rPr>
        <w:t xml:space="preserve"> La structure du rapport </w:t>
      </w:r>
      <w:r w:rsidR="00AE3582" w:rsidRPr="00C579D1">
        <w:rPr>
          <w:lang w:val="fr-FR"/>
        </w:rPr>
        <w:t xml:space="preserve">reprend les </w:t>
      </w:r>
      <w:r w:rsidR="00223DEE" w:rsidRPr="00C579D1">
        <w:rPr>
          <w:lang w:val="fr-FR"/>
        </w:rPr>
        <w:t>mesures spécifiques demandées dans la résolution </w:t>
      </w:r>
      <w:r w:rsidR="00C15BFC" w:rsidRPr="00C579D1">
        <w:rPr>
          <w:lang w:val="fr-FR"/>
        </w:rPr>
        <w:t>1/4.</w:t>
      </w:r>
    </w:p>
    <w:p w:rsidR="005427D8" w:rsidRPr="00C579D1" w:rsidRDefault="00350029" w:rsidP="006A33EE">
      <w:pPr>
        <w:pStyle w:val="Normalnumber"/>
        <w:tabs>
          <w:tab w:val="clear" w:pos="967"/>
          <w:tab w:val="clear" w:pos="1247"/>
          <w:tab w:val="clear" w:pos="1871"/>
          <w:tab w:val="left" w:pos="1843"/>
        </w:tabs>
        <w:ind w:left="1260"/>
        <w:rPr>
          <w:lang w:val="fr-FR"/>
        </w:rPr>
      </w:pPr>
      <w:r w:rsidRPr="00C579D1">
        <w:rPr>
          <w:lang w:val="fr-FR"/>
        </w:rPr>
        <w:t xml:space="preserve">En ce qui concerne </w:t>
      </w:r>
      <w:r w:rsidR="004871D3" w:rsidRPr="00C579D1">
        <w:rPr>
          <w:lang w:val="fr-FR"/>
        </w:rPr>
        <w:t xml:space="preserve">le </w:t>
      </w:r>
      <w:r w:rsidRPr="00C579D1">
        <w:rPr>
          <w:lang w:val="fr-FR"/>
        </w:rPr>
        <w:t>sixième</w:t>
      </w:r>
      <w:r w:rsidR="004871D3" w:rsidRPr="00C579D1">
        <w:rPr>
          <w:lang w:val="fr-FR"/>
        </w:rPr>
        <w:t xml:space="preserve"> </w:t>
      </w:r>
      <w:r w:rsidR="004C650C" w:rsidRPr="00C579D1">
        <w:rPr>
          <w:lang w:val="fr-FR"/>
        </w:rPr>
        <w:t xml:space="preserve">rapport </w:t>
      </w:r>
      <w:r w:rsidR="00840629">
        <w:rPr>
          <w:lang w:val="fr-FR"/>
        </w:rPr>
        <w:t>de la s</w:t>
      </w:r>
      <w:r w:rsidR="004871D3" w:rsidRPr="00C579D1">
        <w:rPr>
          <w:lang w:val="fr-FR"/>
        </w:rPr>
        <w:t xml:space="preserve">érie </w:t>
      </w:r>
      <w:r w:rsidR="004871D3" w:rsidRPr="00C579D1">
        <w:rPr>
          <w:i/>
          <w:lang w:val="fr-FR"/>
        </w:rPr>
        <w:t xml:space="preserve">L’Avenir de </w:t>
      </w:r>
      <w:r w:rsidR="004C650C" w:rsidRPr="00C579D1">
        <w:rPr>
          <w:i/>
          <w:lang w:val="fr-FR"/>
        </w:rPr>
        <w:t>l’environnement mondial</w:t>
      </w:r>
      <w:r w:rsidR="004C650C" w:rsidRPr="00C579D1">
        <w:rPr>
          <w:lang w:val="fr-FR"/>
        </w:rPr>
        <w:t xml:space="preserve"> </w:t>
      </w:r>
      <w:r w:rsidR="004871D3" w:rsidRPr="00C579D1">
        <w:rPr>
          <w:lang w:val="fr-FR"/>
        </w:rPr>
        <w:br/>
        <w:t>(GEO-</w:t>
      </w:r>
      <w:r w:rsidRPr="00C579D1">
        <w:rPr>
          <w:lang w:val="fr-FR"/>
        </w:rPr>
        <w:t xml:space="preserve">6) </w:t>
      </w:r>
      <w:r w:rsidR="004C650C" w:rsidRPr="00C579D1">
        <w:rPr>
          <w:lang w:val="fr-FR"/>
        </w:rPr>
        <w:t>du PNUE</w:t>
      </w:r>
      <w:r w:rsidR="00EE6E36" w:rsidRPr="00C579D1">
        <w:rPr>
          <w:lang w:val="fr-FR"/>
        </w:rPr>
        <w:t xml:space="preserve">, </w:t>
      </w:r>
      <w:r w:rsidR="004C650C" w:rsidRPr="00C579D1">
        <w:rPr>
          <w:lang w:val="fr-FR"/>
        </w:rPr>
        <w:t>la</w:t>
      </w:r>
      <w:r w:rsidR="00EE6E36" w:rsidRPr="00C579D1">
        <w:rPr>
          <w:lang w:val="fr-FR"/>
        </w:rPr>
        <w:t xml:space="preserve"> structure</w:t>
      </w:r>
      <w:r w:rsidR="004C650C" w:rsidRPr="00C579D1">
        <w:rPr>
          <w:lang w:val="fr-FR"/>
        </w:rPr>
        <w:t xml:space="preserve"> et </w:t>
      </w:r>
      <w:r w:rsidR="001D195A" w:rsidRPr="00C579D1">
        <w:rPr>
          <w:lang w:val="fr-FR"/>
        </w:rPr>
        <w:t>le processus</w:t>
      </w:r>
      <w:r w:rsidR="004C650C" w:rsidRPr="00C579D1">
        <w:rPr>
          <w:lang w:val="fr-FR"/>
        </w:rPr>
        <w:t xml:space="preserve"> de l’évaluation</w:t>
      </w:r>
      <w:r w:rsidR="001D195A" w:rsidRPr="00C579D1">
        <w:rPr>
          <w:lang w:val="fr-FR"/>
        </w:rPr>
        <w:t xml:space="preserve"> ont été convenu</w:t>
      </w:r>
      <w:r w:rsidR="00B5279A" w:rsidRPr="00C579D1">
        <w:rPr>
          <w:lang w:val="fr-FR"/>
        </w:rPr>
        <w:t>s</w:t>
      </w:r>
      <w:r w:rsidR="00EE6E36" w:rsidRPr="00C579D1">
        <w:rPr>
          <w:lang w:val="fr-FR"/>
        </w:rPr>
        <w:t xml:space="preserve"> </w:t>
      </w:r>
      <w:r w:rsidR="004871D3" w:rsidRPr="00C579D1">
        <w:rPr>
          <w:lang w:val="fr-FR"/>
        </w:rPr>
        <w:t xml:space="preserve">lors de </w:t>
      </w:r>
      <w:r w:rsidR="00B5279A" w:rsidRPr="00C579D1">
        <w:rPr>
          <w:lang w:val="fr-FR"/>
        </w:rPr>
        <w:t>la consultation mondiale intergouvernementale et multipartite qui s’est tenue à Berlin en octobre 2014</w:t>
      </w:r>
      <w:r w:rsidR="005427D8" w:rsidRPr="00C579D1">
        <w:rPr>
          <w:lang w:val="fr-FR"/>
        </w:rPr>
        <w:t>.</w:t>
      </w:r>
      <w:r w:rsidR="00B5279A" w:rsidRPr="00C579D1">
        <w:rPr>
          <w:lang w:val="fr-FR"/>
        </w:rPr>
        <w:t xml:space="preserve"> Les travaux concernant les six évaluations régionales </w:t>
      </w:r>
      <w:r w:rsidR="00840629">
        <w:rPr>
          <w:lang w:val="fr-FR"/>
        </w:rPr>
        <w:t>étayant le</w:t>
      </w:r>
      <w:r w:rsidR="004871D3" w:rsidRPr="00C579D1">
        <w:rPr>
          <w:lang w:val="fr-FR"/>
        </w:rPr>
        <w:t xml:space="preserve"> </w:t>
      </w:r>
      <w:r w:rsidR="00B5279A" w:rsidRPr="00C579D1">
        <w:rPr>
          <w:lang w:val="fr-FR"/>
        </w:rPr>
        <w:t>sixième </w:t>
      </w:r>
      <w:r w:rsidR="004871D3" w:rsidRPr="00C579D1">
        <w:rPr>
          <w:lang w:val="fr-FR"/>
        </w:rPr>
        <w:t xml:space="preserve">rapport </w:t>
      </w:r>
      <w:r w:rsidR="00B5279A" w:rsidRPr="00C579D1">
        <w:rPr>
          <w:lang w:val="fr-FR"/>
        </w:rPr>
        <w:t xml:space="preserve">ont </w:t>
      </w:r>
      <w:r w:rsidR="00840629">
        <w:rPr>
          <w:lang w:val="fr-FR"/>
        </w:rPr>
        <w:t>d</w:t>
      </w:r>
      <w:r w:rsidR="003B1C72">
        <w:rPr>
          <w:lang w:val="fr-FR"/>
        </w:rPr>
        <w:t>émarré</w:t>
      </w:r>
      <w:r w:rsidR="00B5279A" w:rsidRPr="00C579D1">
        <w:rPr>
          <w:lang w:val="fr-FR"/>
        </w:rPr>
        <w:t xml:space="preserve"> au début de l’année 2015, après la création des</w:t>
      </w:r>
      <w:r w:rsidR="00F13CD8" w:rsidRPr="00C579D1">
        <w:rPr>
          <w:lang w:val="fr-FR"/>
        </w:rPr>
        <w:t xml:space="preserve"> divers</w:t>
      </w:r>
      <w:r w:rsidR="00B5279A" w:rsidRPr="00C579D1">
        <w:rPr>
          <w:lang w:val="fr-FR"/>
        </w:rPr>
        <w:t xml:space="preserve"> </w:t>
      </w:r>
      <w:r w:rsidR="00F13CD8" w:rsidRPr="00C579D1">
        <w:rPr>
          <w:lang w:val="fr-FR"/>
        </w:rPr>
        <w:t xml:space="preserve">organes consultatifs chargés d’appuyer </w:t>
      </w:r>
      <w:r w:rsidR="00805E26" w:rsidRPr="00C579D1">
        <w:rPr>
          <w:lang w:val="fr-FR"/>
        </w:rPr>
        <w:t>le processus</w:t>
      </w:r>
      <w:r w:rsidR="00EE6E36" w:rsidRPr="00C579D1">
        <w:rPr>
          <w:lang w:val="fr-FR"/>
        </w:rPr>
        <w:t>,</w:t>
      </w:r>
      <w:r w:rsidR="00F13CD8" w:rsidRPr="00C579D1">
        <w:rPr>
          <w:lang w:val="fr-FR"/>
        </w:rPr>
        <w:t xml:space="preserve"> et les questions régionales clés ont été définies</w:t>
      </w:r>
      <w:r w:rsidR="003D3D30" w:rsidRPr="00C579D1">
        <w:rPr>
          <w:lang w:val="fr-FR"/>
        </w:rPr>
        <w:t>.</w:t>
      </w:r>
      <w:r w:rsidR="005427D8" w:rsidRPr="00C579D1">
        <w:rPr>
          <w:lang w:val="fr-FR"/>
        </w:rPr>
        <w:t xml:space="preserve"> </w:t>
      </w:r>
    </w:p>
    <w:p w:rsidR="00F2271E" w:rsidRPr="00C579D1" w:rsidRDefault="00F13CD8" w:rsidP="006A33EE">
      <w:pPr>
        <w:pStyle w:val="Normalnumber"/>
        <w:tabs>
          <w:tab w:val="clear" w:pos="967"/>
          <w:tab w:val="clear" w:pos="1247"/>
          <w:tab w:val="clear" w:pos="1871"/>
          <w:tab w:val="left" w:pos="1843"/>
        </w:tabs>
        <w:ind w:left="1260"/>
        <w:rPr>
          <w:lang w:val="fr-FR"/>
        </w:rPr>
      </w:pPr>
      <w:r w:rsidRPr="00C579D1">
        <w:rPr>
          <w:lang w:val="fr-FR"/>
        </w:rPr>
        <w:t xml:space="preserve">Après </w:t>
      </w:r>
      <w:r w:rsidR="00840629">
        <w:rPr>
          <w:lang w:val="fr-FR"/>
        </w:rPr>
        <w:t>avoir fait le point</w:t>
      </w:r>
      <w:r w:rsidRPr="00C579D1">
        <w:rPr>
          <w:lang w:val="fr-FR"/>
        </w:rPr>
        <w:t xml:space="preserve"> sur un certain nombre d’autres processus d’évaluation de l’environnement et rapports clés, le présent rapport </w:t>
      </w:r>
      <w:r w:rsidR="004871D3" w:rsidRPr="00C579D1">
        <w:rPr>
          <w:lang w:val="fr-FR"/>
        </w:rPr>
        <w:t xml:space="preserve">donne </w:t>
      </w:r>
      <w:r w:rsidRPr="00C579D1">
        <w:rPr>
          <w:lang w:val="fr-FR"/>
        </w:rPr>
        <w:t xml:space="preserve">un aperçu </w:t>
      </w:r>
      <w:r w:rsidR="004871D3" w:rsidRPr="00C579D1">
        <w:rPr>
          <w:lang w:val="fr-FR"/>
        </w:rPr>
        <w:t xml:space="preserve">général </w:t>
      </w:r>
      <w:r w:rsidRPr="00C579D1">
        <w:rPr>
          <w:lang w:val="fr-FR"/>
        </w:rPr>
        <w:t>de</w:t>
      </w:r>
      <w:r w:rsidR="000E6402" w:rsidRPr="00C579D1">
        <w:rPr>
          <w:lang w:val="fr-FR"/>
        </w:rPr>
        <w:t>s</w:t>
      </w:r>
      <w:r w:rsidRPr="00C579D1">
        <w:rPr>
          <w:lang w:val="fr-FR"/>
        </w:rPr>
        <w:t xml:space="preserve"> questions </w:t>
      </w:r>
      <w:r w:rsidR="000E6402" w:rsidRPr="00C579D1">
        <w:rPr>
          <w:lang w:val="fr-FR"/>
        </w:rPr>
        <w:t>concernant</w:t>
      </w:r>
      <w:r w:rsidRPr="00C579D1">
        <w:rPr>
          <w:lang w:val="fr-FR"/>
        </w:rPr>
        <w:t xml:space="preserve"> la communication des</w:t>
      </w:r>
      <w:r w:rsidR="00EE6E36" w:rsidRPr="00C579D1">
        <w:rPr>
          <w:lang w:val="fr-FR"/>
        </w:rPr>
        <w:t xml:space="preserve"> </w:t>
      </w:r>
      <w:r w:rsidR="000E6402" w:rsidRPr="00C579D1">
        <w:rPr>
          <w:lang w:val="fr-FR"/>
        </w:rPr>
        <w:t>informations scientifiques de première importance, les partenariats, les lacunes en matière de données et les progrès accomplis dans la réalisation des objectifs environnementaux convenus au niveau international</w:t>
      </w:r>
      <w:r w:rsidR="00521003" w:rsidRPr="00C579D1">
        <w:rPr>
          <w:lang w:val="fr-FR"/>
        </w:rPr>
        <w:t>,</w:t>
      </w:r>
      <w:r w:rsidR="000E6402" w:rsidRPr="00C579D1">
        <w:rPr>
          <w:lang w:val="fr-FR"/>
        </w:rPr>
        <w:t xml:space="preserve"> ainsi que des recommandations relatives aux </w:t>
      </w:r>
      <w:r w:rsidR="00840629">
        <w:rPr>
          <w:lang w:val="fr-FR"/>
        </w:rPr>
        <w:t>instruments politiques</w:t>
      </w:r>
      <w:r w:rsidR="000E6402" w:rsidRPr="00C579D1">
        <w:rPr>
          <w:lang w:val="fr-FR"/>
        </w:rPr>
        <w:t>, en application de la résolution </w:t>
      </w:r>
      <w:r w:rsidR="00B0530A" w:rsidRPr="00C579D1">
        <w:rPr>
          <w:lang w:val="fr-FR"/>
        </w:rPr>
        <w:t>1/4.</w:t>
      </w:r>
    </w:p>
    <w:p w:rsidR="00F2271E" w:rsidRPr="00C579D1" w:rsidRDefault="000E6402" w:rsidP="006A33EE">
      <w:pPr>
        <w:pStyle w:val="Normalnumber"/>
        <w:tabs>
          <w:tab w:val="clear" w:pos="967"/>
          <w:tab w:val="clear" w:pos="1247"/>
          <w:tab w:val="clear" w:pos="1871"/>
          <w:tab w:val="left" w:pos="1843"/>
        </w:tabs>
        <w:ind w:left="1260"/>
        <w:rPr>
          <w:lang w:val="fr-FR"/>
        </w:rPr>
      </w:pPr>
      <w:r w:rsidRPr="00C579D1">
        <w:rPr>
          <w:lang w:val="fr-FR"/>
        </w:rPr>
        <w:t>Il conclut par un examen du</w:t>
      </w:r>
      <w:r w:rsidR="00521003" w:rsidRPr="00C579D1">
        <w:rPr>
          <w:lang w:val="fr-FR"/>
        </w:rPr>
        <w:t xml:space="preserve"> </w:t>
      </w:r>
      <w:r w:rsidRPr="00C579D1">
        <w:rPr>
          <w:lang w:val="fr-FR"/>
        </w:rPr>
        <w:t>système de gestion des connaissances en ligne, « Le PNUE en direct »</w:t>
      </w:r>
      <w:r w:rsidR="004871D3" w:rsidRPr="00C579D1">
        <w:rPr>
          <w:lang w:val="fr-FR"/>
        </w:rPr>
        <w:t>, qui continue d’être considérablement amélioré</w:t>
      </w:r>
      <w:r w:rsidR="00356BC6" w:rsidRPr="00C579D1">
        <w:rPr>
          <w:lang w:val="fr-FR"/>
        </w:rPr>
        <w:t>, des flux de données nationales fiables provenant de plus de 190 pays étant mis à la disposition d’un public mondial, de même qu’un large capital d</w:t>
      </w:r>
      <w:r w:rsidR="00A66B0D" w:rsidRPr="00C579D1">
        <w:rPr>
          <w:lang w:val="fr-FR"/>
        </w:rPr>
        <w:t>’autres</w:t>
      </w:r>
      <w:r w:rsidR="00356BC6" w:rsidRPr="00C579D1">
        <w:rPr>
          <w:lang w:val="fr-FR"/>
        </w:rPr>
        <w:t xml:space="preserve"> connaissances </w:t>
      </w:r>
      <w:r w:rsidR="00A66B0D" w:rsidRPr="00C579D1">
        <w:rPr>
          <w:lang w:val="fr-FR"/>
        </w:rPr>
        <w:t xml:space="preserve">pertinentes </w:t>
      </w:r>
      <w:r w:rsidR="00356BC6" w:rsidRPr="00C579D1">
        <w:rPr>
          <w:lang w:val="fr-FR"/>
        </w:rPr>
        <w:t xml:space="preserve">et </w:t>
      </w:r>
      <w:r w:rsidR="004871D3" w:rsidRPr="00C579D1">
        <w:rPr>
          <w:lang w:val="fr-FR"/>
        </w:rPr>
        <w:t>un système de communication d’</w:t>
      </w:r>
      <w:r w:rsidR="00A66B0D" w:rsidRPr="00C579D1">
        <w:rPr>
          <w:lang w:val="fr-FR"/>
        </w:rPr>
        <w:t>informations sur les indicateurs qui continuer</w:t>
      </w:r>
      <w:r w:rsidR="004E4EF0">
        <w:rPr>
          <w:lang w:val="fr-FR"/>
        </w:rPr>
        <w:t>a</w:t>
      </w:r>
      <w:r w:rsidR="00A66B0D" w:rsidRPr="00C579D1">
        <w:rPr>
          <w:lang w:val="fr-FR"/>
        </w:rPr>
        <w:t xml:space="preserve"> de s’étendre et de se diversifier avec la mise en œuvre du</w:t>
      </w:r>
      <w:r w:rsidR="00B0530A" w:rsidRPr="00C579D1">
        <w:rPr>
          <w:lang w:val="fr-FR"/>
        </w:rPr>
        <w:t xml:space="preserve"> </w:t>
      </w:r>
      <w:r w:rsidR="00A66B0D" w:rsidRPr="00C579D1">
        <w:rPr>
          <w:lang w:val="fr-FR"/>
        </w:rPr>
        <w:t xml:space="preserve">Programme de développement durable à l’horizon 2030 adopté par l’Assemblée générale des Nations Unies en septembre 2015 </w:t>
      </w:r>
      <w:r w:rsidR="00670A3F" w:rsidRPr="00C579D1">
        <w:rPr>
          <w:lang w:val="fr-FR"/>
        </w:rPr>
        <w:t>(</w:t>
      </w:r>
      <w:r w:rsidR="00227178" w:rsidRPr="00C579D1">
        <w:rPr>
          <w:lang w:val="fr-FR"/>
        </w:rPr>
        <w:t>résolution </w:t>
      </w:r>
      <w:r w:rsidR="00670A3F" w:rsidRPr="00C579D1">
        <w:rPr>
          <w:lang w:val="fr-FR"/>
        </w:rPr>
        <w:t>70/1</w:t>
      </w:r>
      <w:r w:rsidR="006C4C5E" w:rsidRPr="00C579D1">
        <w:rPr>
          <w:lang w:val="fr-FR"/>
        </w:rPr>
        <w:t>).</w:t>
      </w:r>
    </w:p>
    <w:p w:rsidR="006C4C5E" w:rsidRPr="00C579D1" w:rsidRDefault="00F63FF9" w:rsidP="00F63FF9">
      <w:pPr>
        <w:pStyle w:val="CH1"/>
        <w:rPr>
          <w:lang w:val="fr-FR"/>
        </w:rPr>
      </w:pPr>
      <w:r w:rsidRPr="00C579D1">
        <w:rPr>
          <w:lang w:val="fr-FR"/>
        </w:rPr>
        <w:tab/>
      </w:r>
      <w:r w:rsidR="00361657" w:rsidRPr="00C579D1">
        <w:rPr>
          <w:lang w:val="fr-FR"/>
        </w:rPr>
        <w:t>II.</w:t>
      </w:r>
      <w:r w:rsidR="00361657" w:rsidRPr="00C579D1">
        <w:rPr>
          <w:lang w:val="fr-FR"/>
        </w:rPr>
        <w:tab/>
      </w:r>
      <w:r w:rsidR="004871D3" w:rsidRPr="00C579D1">
        <w:rPr>
          <w:lang w:val="fr-FR"/>
        </w:rPr>
        <w:t xml:space="preserve">Mise à jour concernant </w:t>
      </w:r>
      <w:r w:rsidR="00227178" w:rsidRPr="00C579D1">
        <w:rPr>
          <w:lang w:val="fr-FR"/>
        </w:rPr>
        <w:t>les évaluations achevées, en cours et prévues</w:t>
      </w:r>
    </w:p>
    <w:p w:rsidR="006C4C5E" w:rsidRPr="00C579D1" w:rsidRDefault="006C4C5E" w:rsidP="00F63FF9">
      <w:pPr>
        <w:pStyle w:val="CH2"/>
        <w:keepNext w:val="0"/>
        <w:keepLines w:val="0"/>
        <w:rPr>
          <w:lang w:val="fr-FR"/>
        </w:rPr>
      </w:pPr>
      <w:r w:rsidRPr="00C579D1">
        <w:rPr>
          <w:lang w:val="fr-FR"/>
        </w:rPr>
        <w:tab/>
        <w:t>A.</w:t>
      </w:r>
      <w:r w:rsidRPr="00C579D1">
        <w:rPr>
          <w:lang w:val="fr-FR"/>
        </w:rPr>
        <w:tab/>
      </w:r>
      <w:r w:rsidR="004E4EF0">
        <w:rPr>
          <w:lang w:val="fr-FR"/>
        </w:rPr>
        <w:t>P</w:t>
      </w:r>
      <w:r w:rsidR="004871D3" w:rsidRPr="00C579D1">
        <w:rPr>
          <w:lang w:val="fr-FR"/>
        </w:rPr>
        <w:t xml:space="preserve">rocessus d’établissement du </w:t>
      </w:r>
      <w:r w:rsidR="00227178" w:rsidRPr="00C579D1">
        <w:rPr>
          <w:lang w:val="fr-FR"/>
        </w:rPr>
        <w:t xml:space="preserve">rapport </w:t>
      </w:r>
      <w:r w:rsidR="004E4EF0">
        <w:rPr>
          <w:lang w:val="fr-FR"/>
        </w:rPr>
        <w:t>de la s</w:t>
      </w:r>
      <w:r w:rsidR="004871D3" w:rsidRPr="00C579D1">
        <w:rPr>
          <w:lang w:val="fr-FR"/>
        </w:rPr>
        <w:t xml:space="preserve">érie </w:t>
      </w:r>
      <w:r w:rsidR="004871D3" w:rsidRPr="00C579D1">
        <w:rPr>
          <w:i/>
          <w:lang w:val="fr-FR"/>
        </w:rPr>
        <w:t>L’A</w:t>
      </w:r>
      <w:r w:rsidR="00227178" w:rsidRPr="00C579D1">
        <w:rPr>
          <w:i/>
          <w:lang w:val="fr-FR"/>
        </w:rPr>
        <w:t>venir de l’environnement mondial</w:t>
      </w:r>
      <w:r w:rsidR="00B0530A" w:rsidRPr="00C579D1">
        <w:rPr>
          <w:lang w:val="fr-FR"/>
        </w:rPr>
        <w:t xml:space="preserve"> </w:t>
      </w:r>
    </w:p>
    <w:p w:rsidR="006C4C5E" w:rsidRPr="00C579D1" w:rsidRDefault="00227178" w:rsidP="006A33EE">
      <w:pPr>
        <w:pStyle w:val="Normalnumber"/>
        <w:tabs>
          <w:tab w:val="clear" w:pos="967"/>
          <w:tab w:val="clear" w:pos="1247"/>
          <w:tab w:val="clear" w:pos="1871"/>
          <w:tab w:val="left" w:pos="1843"/>
        </w:tabs>
        <w:ind w:left="1260"/>
        <w:rPr>
          <w:lang w:val="fr-FR"/>
        </w:rPr>
      </w:pPr>
      <w:r w:rsidRPr="00C579D1">
        <w:rPr>
          <w:lang w:val="fr-FR"/>
        </w:rPr>
        <w:t>Le processus d’é</w:t>
      </w:r>
      <w:r w:rsidR="004871D3" w:rsidRPr="00C579D1">
        <w:rPr>
          <w:lang w:val="fr-FR"/>
        </w:rPr>
        <w:t xml:space="preserve">tablissement du </w:t>
      </w:r>
      <w:r w:rsidRPr="00C579D1">
        <w:rPr>
          <w:lang w:val="fr-FR"/>
        </w:rPr>
        <w:t>sixième </w:t>
      </w:r>
      <w:r w:rsidR="00134A08" w:rsidRPr="00C579D1">
        <w:rPr>
          <w:lang w:val="fr-FR"/>
        </w:rPr>
        <w:t xml:space="preserve">rapport </w:t>
      </w:r>
      <w:r w:rsidR="004B7BD6" w:rsidRPr="00C579D1">
        <w:rPr>
          <w:lang w:val="fr-FR"/>
        </w:rPr>
        <w:t>d</w:t>
      </w:r>
      <w:r w:rsidR="004E4EF0">
        <w:rPr>
          <w:lang w:val="fr-FR"/>
        </w:rPr>
        <w:t>e la s</w:t>
      </w:r>
      <w:r w:rsidR="004B7BD6" w:rsidRPr="00C579D1">
        <w:rPr>
          <w:lang w:val="fr-FR"/>
        </w:rPr>
        <w:t xml:space="preserve">érie </w:t>
      </w:r>
      <w:r w:rsidR="004B7BD6" w:rsidRPr="00C579D1">
        <w:rPr>
          <w:i/>
          <w:lang w:val="fr-FR"/>
        </w:rPr>
        <w:t>L’A</w:t>
      </w:r>
      <w:r w:rsidR="00134A08" w:rsidRPr="00C579D1">
        <w:rPr>
          <w:i/>
          <w:lang w:val="fr-FR"/>
        </w:rPr>
        <w:t>venir de l’environnement mondial</w:t>
      </w:r>
      <w:r w:rsidR="00670A3F" w:rsidRPr="00C579D1">
        <w:rPr>
          <w:lang w:val="fr-FR"/>
        </w:rPr>
        <w:t xml:space="preserve"> </w:t>
      </w:r>
      <w:r w:rsidR="0022264B" w:rsidRPr="00C579D1">
        <w:rPr>
          <w:lang w:val="fr-FR"/>
        </w:rPr>
        <w:t xml:space="preserve">(GEO) </w:t>
      </w:r>
      <w:r w:rsidR="00134A08" w:rsidRPr="00C579D1">
        <w:rPr>
          <w:lang w:val="fr-FR"/>
        </w:rPr>
        <w:t>est un processus ascendant, commençant par la compilation de six évaluations régionales pour l’Afrique, l’Amérique du Nord, l’Amérique latine et les Caraïbes, l’Asie et le Pacifique, l’Asie occidentale et l’Europe</w:t>
      </w:r>
      <w:r w:rsidR="00B0530A" w:rsidRPr="00C579D1">
        <w:rPr>
          <w:lang w:val="fr-FR"/>
        </w:rPr>
        <w:t>,</w:t>
      </w:r>
      <w:r w:rsidR="00134A08" w:rsidRPr="00C579D1">
        <w:rPr>
          <w:lang w:val="fr-FR"/>
        </w:rPr>
        <w:t xml:space="preserve"> dont les résultats</w:t>
      </w:r>
      <w:r w:rsidR="005F6FDE" w:rsidRPr="00C579D1">
        <w:rPr>
          <w:lang w:val="fr-FR"/>
        </w:rPr>
        <w:t xml:space="preserve"> contribueront de manière essentielle à l’évaluation mondiale en cours</w:t>
      </w:r>
      <w:r w:rsidR="001A41D0" w:rsidRPr="00C579D1">
        <w:rPr>
          <w:lang w:val="fr-FR"/>
        </w:rPr>
        <w:t xml:space="preserve">; </w:t>
      </w:r>
      <w:r w:rsidR="005F6FDE" w:rsidRPr="00C579D1">
        <w:rPr>
          <w:lang w:val="fr-FR"/>
        </w:rPr>
        <w:t>les</w:t>
      </w:r>
      <w:r w:rsidR="00670A3F" w:rsidRPr="00C579D1">
        <w:rPr>
          <w:lang w:val="fr-FR"/>
        </w:rPr>
        <w:t xml:space="preserve"> six</w:t>
      </w:r>
      <w:r w:rsidR="005F6FDE" w:rsidRPr="00C579D1">
        <w:rPr>
          <w:lang w:val="fr-FR"/>
        </w:rPr>
        <w:t> régions relèvent des six bureaux régionaux du PNUE et, da</w:t>
      </w:r>
      <w:r w:rsidR="0018632E" w:rsidRPr="00C579D1">
        <w:rPr>
          <w:lang w:val="fr-FR"/>
        </w:rPr>
        <w:t>ns un certain nombre de cas, de</w:t>
      </w:r>
      <w:r w:rsidR="005F6FDE" w:rsidRPr="00C579D1">
        <w:rPr>
          <w:lang w:val="fr-FR"/>
        </w:rPr>
        <w:t xml:space="preserve"> forums ministériels régionaux sur l’environnement</w:t>
      </w:r>
      <w:r w:rsidR="0018632E" w:rsidRPr="00C579D1">
        <w:rPr>
          <w:lang w:val="fr-FR"/>
        </w:rPr>
        <w:t xml:space="preserve"> clés comme la Conférence ministérielle africaine sur l’environnement</w:t>
      </w:r>
      <w:r w:rsidR="00C15BFC" w:rsidRPr="00C579D1">
        <w:rPr>
          <w:lang w:val="fr-FR"/>
        </w:rPr>
        <w:t xml:space="preserve">, </w:t>
      </w:r>
      <w:r w:rsidR="0018632E" w:rsidRPr="00C579D1">
        <w:rPr>
          <w:lang w:val="fr-FR"/>
        </w:rPr>
        <w:t xml:space="preserve">le Forum des ministres et autorités </w:t>
      </w:r>
      <w:r w:rsidR="004B7BD6" w:rsidRPr="00C579D1">
        <w:rPr>
          <w:lang w:val="fr-FR"/>
        </w:rPr>
        <w:t>chargés de l’environnement en Asie-</w:t>
      </w:r>
      <w:r w:rsidR="0018632E" w:rsidRPr="00C579D1">
        <w:rPr>
          <w:lang w:val="fr-FR"/>
        </w:rPr>
        <w:t>Pacifique</w:t>
      </w:r>
      <w:r w:rsidR="00C15BFC" w:rsidRPr="00C579D1">
        <w:rPr>
          <w:lang w:val="fr-FR"/>
        </w:rPr>
        <w:t xml:space="preserve">, </w:t>
      </w:r>
      <w:r w:rsidR="0018632E" w:rsidRPr="00C579D1">
        <w:rPr>
          <w:lang w:val="fr-FR"/>
        </w:rPr>
        <w:t>le processus « Un environnement pour l’Europe »</w:t>
      </w:r>
      <w:r w:rsidR="00C15BFC" w:rsidRPr="00C579D1">
        <w:rPr>
          <w:lang w:val="fr-FR"/>
        </w:rPr>
        <w:t xml:space="preserve">, </w:t>
      </w:r>
      <w:r w:rsidR="0018632E" w:rsidRPr="00C579D1">
        <w:rPr>
          <w:lang w:val="fr-FR"/>
        </w:rPr>
        <w:t>le Forum des ministres de l’environnement d’Amérique latine et des Caraïbes et le</w:t>
      </w:r>
      <w:r w:rsidR="00C15BFC" w:rsidRPr="00C579D1">
        <w:rPr>
          <w:lang w:val="fr-FR"/>
        </w:rPr>
        <w:t xml:space="preserve"> </w:t>
      </w:r>
      <w:r w:rsidR="0018632E" w:rsidRPr="00C579D1">
        <w:rPr>
          <w:lang w:val="fr-FR"/>
        </w:rPr>
        <w:t>Conseil des ministres arabes chargés de l’environnement</w:t>
      </w:r>
      <w:r w:rsidR="00670A3F" w:rsidRPr="00C579D1">
        <w:rPr>
          <w:lang w:val="fr-FR"/>
        </w:rPr>
        <w:t>.</w:t>
      </w:r>
      <w:r w:rsidR="0018632E" w:rsidRPr="00C579D1">
        <w:rPr>
          <w:lang w:val="fr-FR"/>
        </w:rPr>
        <w:t xml:space="preserve"> Les évaluations régionales devraient contribuer </w:t>
      </w:r>
      <w:r w:rsidR="004E4EF0">
        <w:rPr>
          <w:lang w:val="fr-FR"/>
        </w:rPr>
        <w:t>aux débats de</w:t>
      </w:r>
      <w:r w:rsidR="0018632E" w:rsidRPr="00C579D1">
        <w:rPr>
          <w:lang w:val="fr-FR"/>
        </w:rPr>
        <w:t xml:space="preserve"> </w:t>
      </w:r>
      <w:r w:rsidR="00F814E4" w:rsidRPr="00C579D1">
        <w:rPr>
          <w:lang w:val="fr-FR"/>
        </w:rPr>
        <w:t xml:space="preserve">toute une série de réunions et forums régionaux </w:t>
      </w:r>
      <w:r w:rsidR="004E4EF0">
        <w:rPr>
          <w:lang w:val="fr-FR"/>
        </w:rPr>
        <w:t>pour favoriser</w:t>
      </w:r>
      <w:r w:rsidR="00F814E4" w:rsidRPr="00C579D1">
        <w:rPr>
          <w:lang w:val="fr-FR"/>
        </w:rPr>
        <w:t xml:space="preserve"> l’émergence d</w:t>
      </w:r>
      <w:r w:rsidR="004E4EF0">
        <w:rPr>
          <w:lang w:val="fr-FR"/>
        </w:rPr>
        <w:t>’un</w:t>
      </w:r>
      <w:r w:rsidR="00F814E4" w:rsidRPr="00C579D1">
        <w:rPr>
          <w:lang w:val="fr-FR"/>
        </w:rPr>
        <w:t xml:space="preserve"> consensus et l’élaboration de politiques au niveau régional</w:t>
      </w:r>
      <w:r w:rsidR="006C4C5E" w:rsidRPr="00C579D1">
        <w:rPr>
          <w:lang w:val="fr-FR"/>
        </w:rPr>
        <w:t>.</w:t>
      </w:r>
      <w:r w:rsidR="00F814E4" w:rsidRPr="00C579D1">
        <w:rPr>
          <w:lang w:val="fr-FR"/>
        </w:rPr>
        <w:t xml:space="preserve"> </w:t>
      </w:r>
      <w:r w:rsidR="004B7BD6" w:rsidRPr="00C579D1">
        <w:rPr>
          <w:lang w:val="fr-FR"/>
        </w:rPr>
        <w:t>P</w:t>
      </w:r>
      <w:r w:rsidR="00EA7CB6" w:rsidRPr="00C579D1">
        <w:rPr>
          <w:lang w:val="fr-FR"/>
        </w:rPr>
        <w:t>our donner suite</w:t>
      </w:r>
      <w:r w:rsidR="004B7BD6" w:rsidRPr="00C579D1">
        <w:rPr>
          <w:lang w:val="fr-FR"/>
        </w:rPr>
        <w:t xml:space="preserve"> au </w:t>
      </w:r>
      <w:r w:rsidR="00F814E4" w:rsidRPr="00C579D1">
        <w:rPr>
          <w:lang w:val="fr-FR"/>
        </w:rPr>
        <w:t>paragraphe </w:t>
      </w:r>
      <w:r w:rsidR="000716FF" w:rsidRPr="00C579D1">
        <w:rPr>
          <w:lang w:val="fr-FR"/>
        </w:rPr>
        <w:t xml:space="preserve">9 </w:t>
      </w:r>
      <w:r w:rsidR="00F814E4" w:rsidRPr="00C579D1">
        <w:rPr>
          <w:lang w:val="fr-FR"/>
        </w:rPr>
        <w:t>de la résolution 1/4 de</w:t>
      </w:r>
      <w:r w:rsidR="000716FF" w:rsidRPr="00C579D1">
        <w:rPr>
          <w:lang w:val="fr-FR"/>
        </w:rPr>
        <w:t xml:space="preserve"> </w:t>
      </w:r>
      <w:r w:rsidR="00F814E4" w:rsidRPr="00C579D1">
        <w:rPr>
          <w:rFonts w:eastAsia="MS Mincho"/>
          <w:kern w:val="2"/>
          <w:lang w:val="fr-FR"/>
        </w:rPr>
        <w:t xml:space="preserve">l’Assemblée </w:t>
      </w:r>
      <w:r w:rsidR="00F814E4" w:rsidRPr="00C579D1">
        <w:rPr>
          <w:rFonts w:eastAsia="MS Mincho"/>
          <w:kern w:val="2"/>
          <w:lang w:val="fr-FR"/>
        </w:rPr>
        <w:lastRenderedPageBreak/>
        <w:t>des</w:t>
      </w:r>
      <w:r w:rsidR="00CC11BF">
        <w:rPr>
          <w:rFonts w:eastAsia="MS Mincho"/>
          <w:kern w:val="2"/>
          <w:lang w:val="fr-FR"/>
        </w:rPr>
        <w:t> </w:t>
      </w:r>
      <w:r w:rsidR="00F814E4" w:rsidRPr="00C579D1">
        <w:rPr>
          <w:rFonts w:eastAsia="MS Mincho"/>
          <w:kern w:val="2"/>
          <w:lang w:val="fr-FR"/>
        </w:rPr>
        <w:t>Nations Unies pour l’environnement</w:t>
      </w:r>
      <w:r w:rsidR="000716FF" w:rsidRPr="00C579D1">
        <w:rPr>
          <w:lang w:val="fr-FR"/>
        </w:rPr>
        <w:t xml:space="preserve">, </w:t>
      </w:r>
      <w:r w:rsidR="004B7BD6" w:rsidRPr="00C579D1">
        <w:rPr>
          <w:lang w:val="fr-FR"/>
        </w:rPr>
        <w:t xml:space="preserve">le PNUE </w:t>
      </w:r>
      <w:r w:rsidR="00F814E4" w:rsidRPr="00C579D1">
        <w:rPr>
          <w:lang w:val="fr-FR"/>
        </w:rPr>
        <w:t xml:space="preserve">a tenu des consultations avec plus de </w:t>
      </w:r>
      <w:r w:rsidR="00B0530A" w:rsidRPr="00C579D1">
        <w:rPr>
          <w:lang w:val="fr-FR"/>
        </w:rPr>
        <w:t>600</w:t>
      </w:r>
      <w:r w:rsidR="00F02500" w:rsidRPr="00C579D1">
        <w:rPr>
          <w:lang w:val="fr-FR"/>
        </w:rPr>
        <w:t xml:space="preserve"> experts et représentants désignés de </w:t>
      </w:r>
      <w:r w:rsidR="00B0530A" w:rsidRPr="00C579D1">
        <w:rPr>
          <w:lang w:val="fr-FR"/>
        </w:rPr>
        <w:t>85</w:t>
      </w:r>
      <w:r w:rsidR="00F02500" w:rsidRPr="00C579D1">
        <w:rPr>
          <w:lang w:val="fr-FR"/>
        </w:rPr>
        <w:t> pays</w:t>
      </w:r>
      <w:r w:rsidR="00B0530A" w:rsidRPr="00C579D1">
        <w:rPr>
          <w:lang w:val="fr-FR"/>
        </w:rPr>
        <w:t xml:space="preserve"> </w:t>
      </w:r>
      <w:r w:rsidR="00F02500" w:rsidRPr="00C579D1">
        <w:rPr>
          <w:lang w:val="fr-FR"/>
        </w:rPr>
        <w:t>afin de garantir la prise en compte des priorités régionales dans l’évaluation mondiale</w:t>
      </w:r>
      <w:r w:rsidR="006C4C5E" w:rsidRPr="00C579D1">
        <w:rPr>
          <w:lang w:val="fr-FR"/>
        </w:rPr>
        <w:t>.</w:t>
      </w:r>
    </w:p>
    <w:p w:rsidR="006C4C5E" w:rsidRPr="00C579D1" w:rsidRDefault="00B06C52" w:rsidP="006A33EE">
      <w:pPr>
        <w:pStyle w:val="Normalnumber"/>
        <w:tabs>
          <w:tab w:val="clear" w:pos="967"/>
          <w:tab w:val="clear" w:pos="1247"/>
          <w:tab w:val="clear" w:pos="1871"/>
          <w:tab w:val="left" w:pos="1843"/>
        </w:tabs>
        <w:ind w:left="1260"/>
        <w:rPr>
          <w:lang w:val="fr-FR"/>
        </w:rPr>
      </w:pPr>
      <w:r w:rsidRPr="00C579D1">
        <w:rPr>
          <w:lang w:val="fr-FR"/>
        </w:rPr>
        <w:t>Au début de l’année</w:t>
      </w:r>
      <w:r w:rsidR="001A41D0" w:rsidRPr="00C579D1">
        <w:rPr>
          <w:lang w:val="fr-FR"/>
        </w:rPr>
        <w:t xml:space="preserve"> 2015,</w:t>
      </w:r>
      <w:r w:rsidR="006F5201" w:rsidRPr="00C579D1">
        <w:rPr>
          <w:lang w:val="fr-FR"/>
        </w:rPr>
        <w:t xml:space="preserve"> </w:t>
      </w:r>
      <w:r w:rsidR="00EA7CB6" w:rsidRPr="00C579D1">
        <w:rPr>
          <w:lang w:val="fr-FR"/>
        </w:rPr>
        <w:t>conformément</w:t>
      </w:r>
      <w:r w:rsidR="006F5201" w:rsidRPr="00C579D1">
        <w:rPr>
          <w:lang w:val="fr-FR"/>
        </w:rPr>
        <w:t xml:space="preserve"> </w:t>
      </w:r>
      <w:r w:rsidR="00CF5DCF" w:rsidRPr="00C579D1">
        <w:rPr>
          <w:lang w:val="fr-FR"/>
        </w:rPr>
        <w:t xml:space="preserve">aux procédures opérationnelles standard </w:t>
      </w:r>
      <w:r w:rsidR="006F0DD1" w:rsidRPr="00C579D1">
        <w:rPr>
          <w:lang w:val="fr-FR"/>
        </w:rPr>
        <w:t>de la plateforme</w:t>
      </w:r>
      <w:r w:rsidR="00CF5DCF" w:rsidRPr="00C579D1">
        <w:rPr>
          <w:lang w:val="fr-FR"/>
        </w:rPr>
        <w:t xml:space="preserve"> </w:t>
      </w:r>
      <w:r w:rsidR="00CF5DCF" w:rsidRPr="00C579D1">
        <w:rPr>
          <w:rFonts w:eastAsia="MS Mincho"/>
          <w:kern w:val="2"/>
          <w:lang w:val="fr-FR"/>
        </w:rPr>
        <w:t>« </w:t>
      </w:r>
      <w:r w:rsidR="006F0DD1" w:rsidRPr="00C579D1">
        <w:rPr>
          <w:rFonts w:eastAsia="MS Mincho"/>
          <w:kern w:val="2"/>
          <w:lang w:val="fr-FR"/>
        </w:rPr>
        <w:t xml:space="preserve">Le </w:t>
      </w:r>
      <w:r w:rsidR="00CF5DCF" w:rsidRPr="00C579D1">
        <w:rPr>
          <w:rFonts w:eastAsia="MS Mincho"/>
          <w:kern w:val="2"/>
          <w:lang w:val="fr-FR"/>
        </w:rPr>
        <w:t xml:space="preserve">PNUE en direct » </w:t>
      </w:r>
      <w:r w:rsidR="00CF5DCF" w:rsidRPr="00C579D1">
        <w:rPr>
          <w:lang w:val="fr-FR"/>
        </w:rPr>
        <w:t>con</w:t>
      </w:r>
      <w:r w:rsidR="004B7BD6" w:rsidRPr="00C579D1">
        <w:rPr>
          <w:lang w:val="fr-FR"/>
        </w:rPr>
        <w:t xml:space="preserve">sistant à </w:t>
      </w:r>
      <w:r w:rsidR="00CF5DCF" w:rsidRPr="00C579D1">
        <w:rPr>
          <w:lang w:val="fr-FR"/>
        </w:rPr>
        <w:t>fourni</w:t>
      </w:r>
      <w:r w:rsidR="004B7BD6" w:rsidRPr="00C579D1">
        <w:rPr>
          <w:lang w:val="fr-FR"/>
        </w:rPr>
        <w:t xml:space="preserve">r </w:t>
      </w:r>
      <w:r w:rsidR="00CF5DCF" w:rsidRPr="00C579D1">
        <w:rPr>
          <w:lang w:val="fr-FR"/>
        </w:rPr>
        <w:t>un accès ouvert</w:t>
      </w:r>
      <w:r w:rsidR="006F5201" w:rsidRPr="00C579D1">
        <w:rPr>
          <w:lang w:val="fr-FR"/>
        </w:rPr>
        <w:t xml:space="preserve"> </w:t>
      </w:r>
      <w:r w:rsidR="00CF5DCF" w:rsidRPr="00C579D1">
        <w:rPr>
          <w:lang w:val="fr-FR"/>
        </w:rPr>
        <w:t>aux données et connaissances et un appui aux évaluations environnementales intégrées</w:t>
      </w:r>
      <w:r w:rsidR="006F5201" w:rsidRPr="00C579D1">
        <w:rPr>
          <w:lang w:val="fr-FR"/>
        </w:rPr>
        <w:t xml:space="preserve">, </w:t>
      </w:r>
      <w:r w:rsidR="001A41D0" w:rsidRPr="00C579D1">
        <w:rPr>
          <w:lang w:val="fr-FR"/>
        </w:rPr>
        <w:t>s</w:t>
      </w:r>
      <w:r w:rsidR="006C4C5E" w:rsidRPr="00C579D1">
        <w:rPr>
          <w:lang w:val="fr-FR"/>
        </w:rPr>
        <w:t>ix</w:t>
      </w:r>
      <w:r w:rsidR="00CF5DCF" w:rsidRPr="00C579D1">
        <w:rPr>
          <w:lang w:val="fr-FR"/>
        </w:rPr>
        <w:t> conférences</w:t>
      </w:r>
      <w:r w:rsidR="006C4C5E" w:rsidRPr="00C579D1">
        <w:rPr>
          <w:lang w:val="fr-FR"/>
        </w:rPr>
        <w:t xml:space="preserve"> </w:t>
      </w:r>
      <w:r w:rsidR="00CF5DCF" w:rsidRPr="00C579D1">
        <w:rPr>
          <w:lang w:val="fr-FR"/>
        </w:rPr>
        <w:t xml:space="preserve">des réseaux régionaux d’information sur l’environnement ont été organisées afin d’examiner </w:t>
      </w:r>
      <w:r w:rsidR="00054340" w:rsidRPr="00C579D1">
        <w:rPr>
          <w:lang w:val="fr-FR"/>
        </w:rPr>
        <w:t xml:space="preserve">les questions </w:t>
      </w:r>
      <w:r w:rsidR="004B7BD6" w:rsidRPr="00C579D1">
        <w:rPr>
          <w:lang w:val="fr-FR"/>
        </w:rPr>
        <w:t xml:space="preserve">relatives au libre </w:t>
      </w:r>
      <w:r w:rsidR="00054340" w:rsidRPr="00C579D1">
        <w:rPr>
          <w:lang w:val="fr-FR"/>
        </w:rPr>
        <w:t xml:space="preserve">accès </w:t>
      </w:r>
      <w:r w:rsidR="004B7BD6" w:rsidRPr="00C579D1">
        <w:rPr>
          <w:lang w:val="fr-FR"/>
        </w:rPr>
        <w:t xml:space="preserve">aux </w:t>
      </w:r>
      <w:r w:rsidR="00054340" w:rsidRPr="00C579D1">
        <w:rPr>
          <w:lang w:val="fr-FR"/>
        </w:rPr>
        <w:t xml:space="preserve">données </w:t>
      </w:r>
      <w:r w:rsidR="004B7BD6" w:rsidRPr="00C579D1">
        <w:rPr>
          <w:lang w:val="fr-FR"/>
        </w:rPr>
        <w:t xml:space="preserve">et à leur partage </w:t>
      </w:r>
      <w:r w:rsidR="00054340" w:rsidRPr="00C579D1">
        <w:rPr>
          <w:lang w:val="fr-FR"/>
        </w:rPr>
        <w:t xml:space="preserve">dans le cadre </w:t>
      </w:r>
      <w:r w:rsidR="006F0DD1" w:rsidRPr="00C579D1">
        <w:rPr>
          <w:lang w:val="fr-FR"/>
        </w:rPr>
        <w:t>de la plateforme</w:t>
      </w:r>
      <w:r w:rsidR="00054340" w:rsidRPr="00C579D1">
        <w:rPr>
          <w:lang w:val="fr-FR"/>
        </w:rPr>
        <w:t xml:space="preserve"> « </w:t>
      </w:r>
      <w:r w:rsidR="006F0DD1" w:rsidRPr="00C579D1">
        <w:rPr>
          <w:lang w:val="fr-FR"/>
        </w:rPr>
        <w:t xml:space="preserve">Le </w:t>
      </w:r>
      <w:r w:rsidR="00054340" w:rsidRPr="00C579D1">
        <w:rPr>
          <w:lang w:val="fr-FR"/>
        </w:rPr>
        <w:t xml:space="preserve">PNUE en direct » et des plateformes de données ouvertes et de définir les questions prioritaires, les tendances et les questions </w:t>
      </w:r>
      <w:r w:rsidR="004B7BD6" w:rsidRPr="00C579D1">
        <w:rPr>
          <w:lang w:val="fr-FR"/>
        </w:rPr>
        <w:t xml:space="preserve">émergentes </w:t>
      </w:r>
      <w:r w:rsidR="002F5653" w:rsidRPr="00C579D1">
        <w:rPr>
          <w:lang w:val="fr-FR"/>
        </w:rPr>
        <w:t xml:space="preserve">au niveau régional </w:t>
      </w:r>
      <w:r w:rsidR="004B7BD6" w:rsidRPr="00C579D1">
        <w:rPr>
          <w:lang w:val="fr-FR"/>
        </w:rPr>
        <w:t>qui revête</w:t>
      </w:r>
      <w:r w:rsidR="002F5653" w:rsidRPr="00C579D1">
        <w:rPr>
          <w:lang w:val="fr-FR"/>
        </w:rPr>
        <w:t>nt une importance régionale</w:t>
      </w:r>
      <w:r w:rsidR="00914596" w:rsidRPr="00C579D1">
        <w:rPr>
          <w:lang w:val="fr-FR"/>
        </w:rPr>
        <w:t xml:space="preserve"> et mondiale</w:t>
      </w:r>
      <w:r w:rsidR="006C4C5E" w:rsidRPr="00C579D1">
        <w:rPr>
          <w:lang w:val="fr-FR"/>
        </w:rPr>
        <w:t>.</w:t>
      </w:r>
      <w:r w:rsidR="002F5653" w:rsidRPr="00C579D1">
        <w:rPr>
          <w:lang w:val="fr-FR"/>
        </w:rPr>
        <w:t xml:space="preserve"> Sur la base d’une série de critères déterminant l’échelle et les incidences potentielles, un large éventail de questions économiques, environnementales, sociales et relatives au bien-être </w:t>
      </w:r>
      <w:r w:rsidR="004B7BD6" w:rsidRPr="00C579D1">
        <w:rPr>
          <w:lang w:val="fr-FR"/>
        </w:rPr>
        <w:t xml:space="preserve">humain </w:t>
      </w:r>
      <w:r w:rsidR="002F5653" w:rsidRPr="00C579D1">
        <w:rPr>
          <w:lang w:val="fr-FR"/>
        </w:rPr>
        <w:t xml:space="preserve">ont été </w:t>
      </w:r>
      <w:r w:rsidR="004B7BD6" w:rsidRPr="00C579D1">
        <w:rPr>
          <w:lang w:val="fr-FR"/>
        </w:rPr>
        <w:t xml:space="preserve">identifiées </w:t>
      </w:r>
      <w:r w:rsidR="002F5653" w:rsidRPr="00C579D1">
        <w:rPr>
          <w:lang w:val="fr-FR"/>
        </w:rPr>
        <w:t xml:space="preserve">comme </w:t>
      </w:r>
      <w:r w:rsidR="004B7BD6" w:rsidRPr="00C579D1">
        <w:rPr>
          <w:lang w:val="fr-FR"/>
        </w:rPr>
        <w:t xml:space="preserve">étant </w:t>
      </w:r>
      <w:r w:rsidR="002F5653" w:rsidRPr="00C579D1">
        <w:rPr>
          <w:lang w:val="fr-FR"/>
        </w:rPr>
        <w:t xml:space="preserve">nouvelles et </w:t>
      </w:r>
      <w:r w:rsidR="00B7680D" w:rsidRPr="00C579D1">
        <w:rPr>
          <w:lang w:val="fr-FR"/>
        </w:rPr>
        <w:t>cruciales</w:t>
      </w:r>
      <w:r w:rsidR="002F5653" w:rsidRPr="00C579D1">
        <w:rPr>
          <w:lang w:val="fr-FR"/>
        </w:rPr>
        <w:t xml:space="preserve"> pour le développement durable des régions</w:t>
      </w:r>
      <w:r w:rsidR="006C4C5E" w:rsidRPr="00C579D1">
        <w:rPr>
          <w:lang w:val="fr-FR"/>
        </w:rPr>
        <w:t>.</w:t>
      </w:r>
      <w:r w:rsidR="002F5653" w:rsidRPr="00C579D1">
        <w:rPr>
          <w:lang w:val="fr-FR"/>
        </w:rPr>
        <w:t xml:space="preserve"> Étant donné la multiplicité et l’importance mondiale de ces nouvelles questions, le PNUE analyse plus en détail les résultats en vue de produire des évaluations</w:t>
      </w:r>
      <w:r w:rsidR="00280DC8" w:rsidRPr="00C579D1">
        <w:rPr>
          <w:lang w:val="fr-FR"/>
        </w:rPr>
        <w:t xml:space="preserve"> factuelles de ces derniers et de mettre les conclusions à la disposition de la communauté internationale aux fins d’un examen opportun et adéquat</w:t>
      </w:r>
      <w:r w:rsidR="006C4C5E" w:rsidRPr="00C579D1">
        <w:rPr>
          <w:lang w:val="fr-FR"/>
        </w:rPr>
        <w:t>.</w:t>
      </w:r>
    </w:p>
    <w:p w:rsidR="009677FE" w:rsidRPr="00C579D1" w:rsidRDefault="00EC1353" w:rsidP="006A33EE">
      <w:pPr>
        <w:pStyle w:val="Normalnumber"/>
        <w:tabs>
          <w:tab w:val="clear" w:pos="967"/>
          <w:tab w:val="clear" w:pos="1247"/>
          <w:tab w:val="clear" w:pos="1871"/>
          <w:tab w:val="left" w:pos="1843"/>
        </w:tabs>
        <w:ind w:left="1260"/>
        <w:rPr>
          <w:lang w:val="fr-FR"/>
        </w:rPr>
      </w:pPr>
      <w:r w:rsidRPr="00C579D1">
        <w:rPr>
          <w:lang w:val="fr-FR"/>
        </w:rPr>
        <w:t xml:space="preserve">Chaque région a désigné deux coprésidents </w:t>
      </w:r>
      <w:r w:rsidR="004B7BD6" w:rsidRPr="00C579D1">
        <w:rPr>
          <w:lang w:val="fr-FR"/>
        </w:rPr>
        <w:t>responsables de l</w:t>
      </w:r>
      <w:r w:rsidRPr="00C579D1">
        <w:rPr>
          <w:lang w:val="fr-FR"/>
        </w:rPr>
        <w:t xml:space="preserve">’évaluation et une équipe d’auteurs a été chargée de produire un avant-projet avant </w:t>
      </w:r>
      <w:r w:rsidR="007C0C58">
        <w:rPr>
          <w:lang w:val="fr-FR"/>
        </w:rPr>
        <w:t xml:space="preserve">la tenue d’un processus consultatif interrégional </w:t>
      </w:r>
      <w:r w:rsidR="00533EB4" w:rsidRPr="00C579D1">
        <w:rPr>
          <w:lang w:val="fr-FR"/>
        </w:rPr>
        <w:t>en septembre 2015</w:t>
      </w:r>
      <w:r w:rsidR="007C0C58">
        <w:rPr>
          <w:lang w:val="fr-FR"/>
        </w:rPr>
        <w:t xml:space="preserve"> en vue de ré</w:t>
      </w:r>
      <w:r w:rsidR="003B1C72">
        <w:rPr>
          <w:lang w:val="fr-FR"/>
        </w:rPr>
        <w:t>diger la première mou</w:t>
      </w:r>
      <w:r w:rsidR="007C0C58">
        <w:rPr>
          <w:lang w:val="fr-FR"/>
        </w:rPr>
        <w:t>ture</w:t>
      </w:r>
      <w:r w:rsidR="006C4C5E" w:rsidRPr="00C579D1">
        <w:rPr>
          <w:lang w:val="fr-FR"/>
        </w:rPr>
        <w:t>.</w:t>
      </w:r>
      <w:r w:rsidR="00CB732D" w:rsidRPr="00C579D1">
        <w:rPr>
          <w:lang w:val="fr-FR"/>
        </w:rPr>
        <w:t xml:space="preserve"> </w:t>
      </w:r>
      <w:r w:rsidR="00533EB4" w:rsidRPr="00C579D1">
        <w:rPr>
          <w:lang w:val="fr-FR"/>
        </w:rPr>
        <w:t>Ensuite, deux cycles d’examen ont été menés, générant</w:t>
      </w:r>
      <w:r w:rsidR="009677FE" w:rsidRPr="00C579D1">
        <w:rPr>
          <w:lang w:val="fr-FR"/>
        </w:rPr>
        <w:t xml:space="preserve"> </w:t>
      </w:r>
      <w:r w:rsidR="00533EB4" w:rsidRPr="00C579D1">
        <w:rPr>
          <w:lang w:val="fr-FR"/>
        </w:rPr>
        <w:t xml:space="preserve">de nombreuses </w:t>
      </w:r>
      <w:r w:rsidR="007C0C58">
        <w:rPr>
          <w:lang w:val="fr-FR"/>
        </w:rPr>
        <w:t>informations en retour</w:t>
      </w:r>
      <w:r w:rsidR="00533EB4" w:rsidRPr="00C579D1">
        <w:rPr>
          <w:lang w:val="fr-FR"/>
        </w:rPr>
        <w:t xml:space="preserve"> de</w:t>
      </w:r>
      <w:r w:rsidR="007C0C58">
        <w:rPr>
          <w:lang w:val="fr-FR"/>
        </w:rPr>
        <w:t>s</w:t>
      </w:r>
      <w:r w:rsidR="00533EB4" w:rsidRPr="00C579D1">
        <w:rPr>
          <w:lang w:val="fr-FR"/>
        </w:rPr>
        <w:t xml:space="preserve"> gouvernements, d</w:t>
      </w:r>
      <w:r w:rsidR="007C0C58">
        <w:rPr>
          <w:lang w:val="fr-FR"/>
        </w:rPr>
        <w:t xml:space="preserve">es </w:t>
      </w:r>
      <w:r w:rsidR="00533EB4" w:rsidRPr="00C579D1">
        <w:rPr>
          <w:lang w:val="fr-FR"/>
        </w:rPr>
        <w:t>experts, de</w:t>
      </w:r>
      <w:r w:rsidR="007C0C58">
        <w:rPr>
          <w:lang w:val="fr-FR"/>
        </w:rPr>
        <w:t>s</w:t>
      </w:r>
      <w:r w:rsidR="00533EB4" w:rsidRPr="00C579D1">
        <w:rPr>
          <w:lang w:val="fr-FR"/>
        </w:rPr>
        <w:t xml:space="preserve"> grands groupes et parties prenantes et d</w:t>
      </w:r>
      <w:r w:rsidR="007C0C58">
        <w:rPr>
          <w:lang w:val="fr-FR"/>
        </w:rPr>
        <w:t xml:space="preserve">es </w:t>
      </w:r>
      <w:r w:rsidR="004B7BD6" w:rsidRPr="00C579D1">
        <w:rPr>
          <w:lang w:val="fr-FR"/>
        </w:rPr>
        <w:t xml:space="preserve">organismes des </w:t>
      </w:r>
      <w:r w:rsidR="00533EB4" w:rsidRPr="00C579D1">
        <w:rPr>
          <w:lang w:val="fr-FR"/>
        </w:rPr>
        <w:t>Nations Unies</w:t>
      </w:r>
      <w:r w:rsidR="004B7BD6" w:rsidRPr="00C579D1">
        <w:rPr>
          <w:lang w:val="fr-FR"/>
        </w:rPr>
        <w:t xml:space="preserve">. </w:t>
      </w:r>
    </w:p>
    <w:p w:rsidR="009677FE" w:rsidRPr="00C579D1" w:rsidRDefault="009677FE" w:rsidP="006A33EE">
      <w:pPr>
        <w:pStyle w:val="Normalnumber"/>
        <w:tabs>
          <w:tab w:val="clear" w:pos="967"/>
          <w:tab w:val="clear" w:pos="1247"/>
          <w:tab w:val="clear" w:pos="1871"/>
          <w:tab w:val="left" w:pos="1843"/>
        </w:tabs>
        <w:ind w:left="1260"/>
        <w:rPr>
          <w:lang w:val="fr-FR"/>
        </w:rPr>
      </w:pPr>
      <w:r w:rsidRPr="00C579D1">
        <w:rPr>
          <w:lang w:val="fr-FR"/>
        </w:rPr>
        <w:t>Dur</w:t>
      </w:r>
      <w:r w:rsidR="00533EB4" w:rsidRPr="00C579D1">
        <w:rPr>
          <w:lang w:val="fr-FR"/>
        </w:rPr>
        <w:t>ant une réunion conjointe tenue en janvier </w:t>
      </w:r>
      <w:r w:rsidRPr="00C579D1">
        <w:rPr>
          <w:lang w:val="fr-FR"/>
        </w:rPr>
        <w:t xml:space="preserve">2016, </w:t>
      </w:r>
      <w:r w:rsidR="00533EB4" w:rsidRPr="00C579D1">
        <w:rPr>
          <w:lang w:val="fr-FR"/>
        </w:rPr>
        <w:t>les membres du</w:t>
      </w:r>
      <w:r w:rsidRPr="00C579D1">
        <w:rPr>
          <w:lang w:val="fr-FR"/>
        </w:rPr>
        <w:t xml:space="preserve"> </w:t>
      </w:r>
      <w:r w:rsidR="00F00E7C" w:rsidRPr="00C579D1">
        <w:rPr>
          <w:lang w:val="fr-FR"/>
        </w:rPr>
        <w:t>Groupe consultatif de haut niveau intergouvernemental et de parties prenantes associé à l’é</w:t>
      </w:r>
      <w:r w:rsidR="00B46683" w:rsidRPr="00C579D1">
        <w:rPr>
          <w:lang w:val="fr-FR"/>
        </w:rPr>
        <w:t xml:space="preserve">tablissement </w:t>
      </w:r>
      <w:r w:rsidR="00F00E7C" w:rsidRPr="00C579D1">
        <w:rPr>
          <w:lang w:val="fr-FR"/>
        </w:rPr>
        <w:t xml:space="preserve">du rapport </w:t>
      </w:r>
      <w:r w:rsidRPr="00C579D1">
        <w:rPr>
          <w:lang w:val="fr-FR"/>
        </w:rPr>
        <w:t>GEO-6</w:t>
      </w:r>
      <w:r w:rsidR="00F00E7C" w:rsidRPr="00C579D1">
        <w:rPr>
          <w:lang w:val="fr-FR"/>
        </w:rPr>
        <w:t xml:space="preserve"> et du</w:t>
      </w:r>
      <w:r w:rsidRPr="00C579D1">
        <w:rPr>
          <w:lang w:val="fr-FR"/>
        </w:rPr>
        <w:t xml:space="preserve"> </w:t>
      </w:r>
      <w:r w:rsidR="00F00E7C" w:rsidRPr="00C579D1">
        <w:rPr>
          <w:lang w:val="fr-FR"/>
        </w:rPr>
        <w:t>Groupe consultatif scientifique ont convenu d’organiser un</w:t>
      </w:r>
      <w:r w:rsidR="00B7680D" w:rsidRPr="00C579D1">
        <w:rPr>
          <w:lang w:val="fr-FR"/>
        </w:rPr>
        <w:t>e</w:t>
      </w:r>
      <w:r w:rsidR="00F00E7C" w:rsidRPr="00C579D1">
        <w:rPr>
          <w:lang w:val="fr-FR"/>
        </w:rPr>
        <w:t xml:space="preserve"> série de réunions régionales en mars et </w:t>
      </w:r>
      <w:r w:rsidR="00B7680D" w:rsidRPr="00C579D1">
        <w:rPr>
          <w:lang w:val="fr-FR"/>
        </w:rPr>
        <w:t xml:space="preserve">en </w:t>
      </w:r>
      <w:r w:rsidR="00F00E7C" w:rsidRPr="00C579D1">
        <w:rPr>
          <w:lang w:val="fr-FR"/>
        </w:rPr>
        <w:t>avril 2016, au cours desquelles les membres du Groupe de haut niveau s’emploieraient à</w:t>
      </w:r>
      <w:r w:rsidR="004C7578" w:rsidRPr="00C579D1">
        <w:rPr>
          <w:lang w:val="fr-FR"/>
        </w:rPr>
        <w:t xml:space="preserve"> affiner et adopter un résumé de deux pages reprenant les </w:t>
      </w:r>
      <w:r w:rsidR="00CC11BF" w:rsidRPr="00C579D1">
        <w:rPr>
          <w:lang w:val="fr-FR"/>
        </w:rPr>
        <w:t xml:space="preserve">principales </w:t>
      </w:r>
      <w:r w:rsidR="004C7578" w:rsidRPr="00C579D1">
        <w:rPr>
          <w:lang w:val="fr-FR"/>
        </w:rPr>
        <w:t>conclusions et messages politiques clés devant être présentés à l’Assemblée des Nations Unies pour l’environnement à sa deuxième session</w:t>
      </w:r>
      <w:r w:rsidRPr="00C579D1">
        <w:rPr>
          <w:lang w:val="fr-FR"/>
        </w:rPr>
        <w:t xml:space="preserve">. </w:t>
      </w:r>
      <w:r w:rsidR="00CC11BF">
        <w:rPr>
          <w:lang w:val="fr-FR"/>
        </w:rPr>
        <w:t>Le </w:t>
      </w:r>
      <w:r w:rsidR="004C7578" w:rsidRPr="00C579D1">
        <w:rPr>
          <w:lang w:val="fr-FR"/>
        </w:rPr>
        <w:t xml:space="preserve">résumé des principales </w:t>
      </w:r>
      <w:r w:rsidR="00537223" w:rsidRPr="00C579D1">
        <w:rPr>
          <w:lang w:val="fr-FR"/>
        </w:rPr>
        <w:t xml:space="preserve">conclusions </w:t>
      </w:r>
      <w:r w:rsidR="00C11E00" w:rsidRPr="00C579D1">
        <w:rPr>
          <w:lang w:val="fr-FR"/>
        </w:rPr>
        <w:t>de</w:t>
      </w:r>
      <w:r w:rsidR="004C7578" w:rsidRPr="00C579D1">
        <w:rPr>
          <w:lang w:val="fr-FR"/>
        </w:rPr>
        <w:t xml:space="preserve"> chaque évaluation régionale </w:t>
      </w:r>
      <w:r w:rsidR="00537223" w:rsidRPr="00C579D1">
        <w:rPr>
          <w:lang w:val="fr-FR"/>
        </w:rPr>
        <w:t xml:space="preserve">de </w:t>
      </w:r>
      <w:r w:rsidRPr="00C579D1">
        <w:rPr>
          <w:lang w:val="fr-FR"/>
        </w:rPr>
        <w:t xml:space="preserve">GEO-6 </w:t>
      </w:r>
      <w:r w:rsidR="004C7578" w:rsidRPr="00C579D1">
        <w:rPr>
          <w:lang w:val="fr-FR"/>
        </w:rPr>
        <w:t>sera</w:t>
      </w:r>
      <w:r w:rsidR="00C11E00" w:rsidRPr="00C579D1">
        <w:rPr>
          <w:lang w:val="fr-FR"/>
        </w:rPr>
        <w:t xml:space="preserve"> utilisé comme base pour l’évaluation mondiale </w:t>
      </w:r>
      <w:r w:rsidR="00537223" w:rsidRPr="00C579D1">
        <w:rPr>
          <w:lang w:val="fr-FR"/>
        </w:rPr>
        <w:t xml:space="preserve">de GEO-6 </w:t>
      </w:r>
      <w:r w:rsidR="00C11E00" w:rsidRPr="00C579D1">
        <w:rPr>
          <w:lang w:val="fr-FR"/>
        </w:rPr>
        <w:t>et pour appuyer la mise en œuvre de la dimension environnementale des objectifs de développement durable</w:t>
      </w:r>
      <w:r w:rsidRPr="00C579D1">
        <w:rPr>
          <w:lang w:val="fr-FR"/>
        </w:rPr>
        <w:t>.</w:t>
      </w:r>
      <w:r w:rsidR="00C11E00" w:rsidRPr="00C579D1">
        <w:rPr>
          <w:lang w:val="fr-FR"/>
        </w:rPr>
        <w:t xml:space="preserve"> Les évaluations régionales </w:t>
      </w:r>
      <w:r w:rsidR="00537223" w:rsidRPr="00C579D1">
        <w:rPr>
          <w:lang w:val="fr-FR"/>
        </w:rPr>
        <w:t xml:space="preserve">comporteront </w:t>
      </w:r>
      <w:r w:rsidR="00C11E00" w:rsidRPr="00C579D1">
        <w:rPr>
          <w:lang w:val="fr-FR"/>
        </w:rPr>
        <w:t>un</w:t>
      </w:r>
      <w:r w:rsidR="009855E1">
        <w:rPr>
          <w:lang w:val="fr-FR"/>
        </w:rPr>
        <w:t>e </w:t>
      </w:r>
      <w:r w:rsidR="00367D56" w:rsidRPr="00C579D1">
        <w:rPr>
          <w:lang w:val="fr-FR"/>
        </w:rPr>
        <w:t xml:space="preserve">première partie prenant la forme d’un livre </w:t>
      </w:r>
      <w:r w:rsidR="009E2230" w:rsidRPr="00C579D1">
        <w:rPr>
          <w:lang w:val="fr-FR"/>
        </w:rPr>
        <w:t>électronique</w:t>
      </w:r>
      <w:r w:rsidR="00367D56" w:rsidRPr="00C579D1">
        <w:rPr>
          <w:lang w:val="fr-FR"/>
        </w:rPr>
        <w:t xml:space="preserve"> interactif et une deuxième partie disponible en ligne contenant des données et des informations</w:t>
      </w:r>
      <w:r w:rsidR="00F375D5" w:rsidRPr="00C579D1">
        <w:rPr>
          <w:lang w:val="fr-FR"/>
        </w:rPr>
        <w:t xml:space="preserve"> </w:t>
      </w:r>
      <w:r w:rsidR="0082742A" w:rsidRPr="00C579D1">
        <w:rPr>
          <w:lang w:val="fr-FR"/>
        </w:rPr>
        <w:t>connexes</w:t>
      </w:r>
      <w:r w:rsidR="00F375D5" w:rsidRPr="00C579D1">
        <w:rPr>
          <w:lang w:val="fr-FR"/>
        </w:rPr>
        <w:t>.</w:t>
      </w:r>
    </w:p>
    <w:p w:rsidR="00F2271E" w:rsidRPr="00C579D1" w:rsidRDefault="00367D56" w:rsidP="006A33EE">
      <w:pPr>
        <w:pStyle w:val="Normalnumber"/>
        <w:tabs>
          <w:tab w:val="clear" w:pos="967"/>
          <w:tab w:val="clear" w:pos="1247"/>
          <w:tab w:val="clear" w:pos="1871"/>
          <w:tab w:val="left" w:pos="1843"/>
        </w:tabs>
        <w:ind w:left="1260"/>
        <w:rPr>
          <w:lang w:val="fr-FR"/>
        </w:rPr>
      </w:pPr>
      <w:r w:rsidRPr="00C579D1">
        <w:rPr>
          <w:lang w:val="fr-FR"/>
        </w:rPr>
        <w:t xml:space="preserve">Fort de l’expérience passée et actuelle </w:t>
      </w:r>
      <w:r w:rsidR="00064B3E" w:rsidRPr="00C579D1">
        <w:rPr>
          <w:lang w:val="fr-FR"/>
        </w:rPr>
        <w:t>concernant les</w:t>
      </w:r>
      <w:r w:rsidRPr="00C579D1">
        <w:rPr>
          <w:lang w:val="fr-FR"/>
        </w:rPr>
        <w:t xml:space="preserve"> différentes </w:t>
      </w:r>
      <w:r w:rsidR="0082742A" w:rsidRPr="00C579D1">
        <w:rPr>
          <w:lang w:val="fr-FR"/>
        </w:rPr>
        <w:t>méthodes utilisées pour définir et</w:t>
      </w:r>
      <w:r w:rsidRPr="00C579D1">
        <w:rPr>
          <w:lang w:val="fr-FR"/>
        </w:rPr>
        <w:t xml:space="preserve"> hiérarchiser </w:t>
      </w:r>
      <w:r w:rsidR="0082742A" w:rsidRPr="00C579D1">
        <w:rPr>
          <w:lang w:val="fr-FR"/>
        </w:rPr>
        <w:t xml:space="preserve">les questions nouvelles </w:t>
      </w:r>
      <w:r w:rsidRPr="00C579D1">
        <w:rPr>
          <w:lang w:val="fr-FR"/>
        </w:rPr>
        <w:t>et communiquer</w:t>
      </w:r>
      <w:r w:rsidR="0082742A" w:rsidRPr="00C579D1">
        <w:rPr>
          <w:lang w:val="fr-FR"/>
        </w:rPr>
        <w:t xml:space="preserve"> ces dernières</w:t>
      </w:r>
      <w:r w:rsidRPr="00C579D1">
        <w:rPr>
          <w:lang w:val="fr-FR"/>
        </w:rPr>
        <w:t xml:space="preserve"> </w:t>
      </w:r>
      <w:r w:rsidR="0082742A" w:rsidRPr="00C579D1">
        <w:rPr>
          <w:lang w:val="fr-FR"/>
        </w:rPr>
        <w:t>aux</w:t>
      </w:r>
      <w:r w:rsidR="00064B3E" w:rsidRPr="00C579D1">
        <w:rPr>
          <w:lang w:val="fr-FR"/>
        </w:rPr>
        <w:t xml:space="preserve"> gouvernements et </w:t>
      </w:r>
      <w:r w:rsidR="0082742A" w:rsidRPr="00C579D1">
        <w:rPr>
          <w:lang w:val="fr-FR"/>
        </w:rPr>
        <w:t>au</w:t>
      </w:r>
      <w:r w:rsidR="00064B3E" w:rsidRPr="00C579D1">
        <w:rPr>
          <w:lang w:val="fr-FR"/>
        </w:rPr>
        <w:t xml:space="preserve"> grand public, le PNUE a continué de développer le processus d’</w:t>
      </w:r>
      <w:r w:rsidR="00B46683" w:rsidRPr="00C579D1">
        <w:rPr>
          <w:lang w:val="fr-FR"/>
        </w:rPr>
        <w:t xml:space="preserve">établissement </w:t>
      </w:r>
      <w:r w:rsidR="00064B3E" w:rsidRPr="00C579D1">
        <w:rPr>
          <w:lang w:val="fr-FR"/>
        </w:rPr>
        <w:t xml:space="preserve">du rapport GEO-6, de renforcer ce dernier et de le rendre plus structuré, régulier et inclusif dans le but de faire participer </w:t>
      </w:r>
      <w:r w:rsidR="003B1C72">
        <w:rPr>
          <w:lang w:val="fr-FR"/>
        </w:rPr>
        <w:t>un </w:t>
      </w:r>
      <w:r w:rsidR="00BD73B9" w:rsidRPr="00C579D1">
        <w:rPr>
          <w:lang w:val="fr-FR"/>
        </w:rPr>
        <w:t>plus vaste éventail de parties prenantes et de générer des résultats qui parlent à un plus large public</w:t>
      </w:r>
      <w:r w:rsidR="006C4C5E" w:rsidRPr="00C579D1">
        <w:rPr>
          <w:lang w:val="fr-FR"/>
        </w:rPr>
        <w:t>.</w:t>
      </w:r>
      <w:r w:rsidR="00CB732D" w:rsidRPr="00C579D1">
        <w:rPr>
          <w:lang w:val="fr-FR"/>
        </w:rPr>
        <w:t xml:space="preserve"> </w:t>
      </w:r>
      <w:r w:rsidR="00BD73B9" w:rsidRPr="00C579D1">
        <w:rPr>
          <w:lang w:val="fr-FR"/>
        </w:rPr>
        <w:t>Le processus rationalisé devrait contribuer de manière substantielle à l’é</w:t>
      </w:r>
      <w:r w:rsidR="00B46683" w:rsidRPr="00C579D1">
        <w:rPr>
          <w:lang w:val="fr-FR"/>
        </w:rPr>
        <w:t xml:space="preserve">tablissement </w:t>
      </w:r>
      <w:r w:rsidR="00BD73B9" w:rsidRPr="00C579D1">
        <w:rPr>
          <w:lang w:val="fr-FR"/>
        </w:rPr>
        <w:t>du</w:t>
      </w:r>
      <w:r w:rsidR="006C4C5E" w:rsidRPr="00C579D1">
        <w:rPr>
          <w:lang w:val="fr-FR"/>
        </w:rPr>
        <w:t xml:space="preserve"> </w:t>
      </w:r>
      <w:r w:rsidR="00BD73B9" w:rsidRPr="00C579D1">
        <w:rPr>
          <w:lang w:val="fr-FR"/>
        </w:rPr>
        <w:t xml:space="preserve">Rapport mondial sur le développement durable, </w:t>
      </w:r>
      <w:r w:rsidR="007C0C58">
        <w:rPr>
          <w:lang w:val="fr-FR"/>
        </w:rPr>
        <w:t>auquel</w:t>
      </w:r>
      <w:r w:rsidR="00BD73B9" w:rsidRPr="00C579D1">
        <w:rPr>
          <w:lang w:val="fr-FR"/>
        </w:rPr>
        <w:t xml:space="preserve"> le PNUE participe pleinement</w:t>
      </w:r>
      <w:r w:rsidR="006C4C5E" w:rsidRPr="00C579D1">
        <w:rPr>
          <w:lang w:val="fr-FR"/>
        </w:rPr>
        <w:t xml:space="preserve">. </w:t>
      </w:r>
    </w:p>
    <w:p w:rsidR="00F2271E" w:rsidRPr="00C579D1" w:rsidRDefault="00BD73B9" w:rsidP="006A33EE">
      <w:pPr>
        <w:pStyle w:val="Normalnumber"/>
        <w:tabs>
          <w:tab w:val="clear" w:pos="967"/>
          <w:tab w:val="clear" w:pos="1247"/>
          <w:tab w:val="clear" w:pos="1871"/>
          <w:tab w:val="left" w:pos="1843"/>
        </w:tabs>
        <w:ind w:left="1260"/>
        <w:rPr>
          <w:lang w:val="fr-FR"/>
        </w:rPr>
      </w:pPr>
      <w:r w:rsidRPr="00C579D1">
        <w:rPr>
          <w:lang w:val="fr-FR"/>
        </w:rPr>
        <w:t>Un certain nombre de questions prioritaires</w:t>
      </w:r>
      <w:r w:rsidR="006C0C09" w:rsidRPr="00C579D1">
        <w:rPr>
          <w:lang w:val="fr-FR"/>
        </w:rPr>
        <w:t xml:space="preserve"> communes préliminaires ont été définies dans les évaluations régionales</w:t>
      </w:r>
      <w:r w:rsidR="003B2165" w:rsidRPr="00C579D1">
        <w:rPr>
          <w:lang w:val="fr-FR"/>
        </w:rPr>
        <w:t>,</w:t>
      </w:r>
      <w:r w:rsidR="006C0C09" w:rsidRPr="00C579D1">
        <w:rPr>
          <w:lang w:val="fr-FR"/>
        </w:rPr>
        <w:t xml:space="preserve"> notamment la détérioration des écosystèmes en raison d’une mauvaise gestion et d’une surexploitation des ressources</w:t>
      </w:r>
      <w:r w:rsidR="003B2165" w:rsidRPr="00C579D1">
        <w:rPr>
          <w:lang w:val="fr-FR"/>
        </w:rPr>
        <w:t xml:space="preserve">; </w:t>
      </w:r>
      <w:r w:rsidR="006C0C09" w:rsidRPr="00C579D1">
        <w:rPr>
          <w:lang w:val="fr-FR"/>
        </w:rPr>
        <w:t>l’incidence accrue de l’urbanisation et de l’évolution démographique sur la qualité de vie</w:t>
      </w:r>
      <w:r w:rsidR="003B2165" w:rsidRPr="00C579D1">
        <w:rPr>
          <w:lang w:val="fr-FR"/>
        </w:rPr>
        <w:t xml:space="preserve">; </w:t>
      </w:r>
      <w:r w:rsidR="006C0C09" w:rsidRPr="00C579D1">
        <w:rPr>
          <w:lang w:val="fr-FR"/>
        </w:rPr>
        <w:t>les conséquences de plus en plus graves des changements climatiques</w:t>
      </w:r>
      <w:r w:rsidR="003B2165" w:rsidRPr="00C579D1">
        <w:rPr>
          <w:lang w:val="fr-FR"/>
        </w:rPr>
        <w:t>;</w:t>
      </w:r>
      <w:r w:rsidR="006C4C5E" w:rsidRPr="00C579D1">
        <w:rPr>
          <w:lang w:val="fr-FR"/>
        </w:rPr>
        <w:t xml:space="preserve"> </w:t>
      </w:r>
      <w:r w:rsidR="006C0C09" w:rsidRPr="00C579D1">
        <w:rPr>
          <w:lang w:val="fr-FR"/>
        </w:rPr>
        <w:t>les problèmes relatifs à la fourniture d’un accès équitable aux ressources</w:t>
      </w:r>
      <w:r w:rsidR="00670A3F" w:rsidRPr="00C579D1">
        <w:rPr>
          <w:lang w:val="fr-FR"/>
        </w:rPr>
        <w:t>;</w:t>
      </w:r>
      <w:r w:rsidR="006C4C5E" w:rsidRPr="00C579D1">
        <w:rPr>
          <w:lang w:val="fr-FR"/>
        </w:rPr>
        <w:t xml:space="preserve"> </w:t>
      </w:r>
      <w:r w:rsidR="006C0C09" w:rsidRPr="00C579D1">
        <w:rPr>
          <w:lang w:val="fr-FR"/>
        </w:rPr>
        <w:t>l’</w:t>
      </w:r>
      <w:r w:rsidR="006C4C5E" w:rsidRPr="00C579D1">
        <w:rPr>
          <w:lang w:val="fr-FR"/>
        </w:rPr>
        <w:t xml:space="preserve">impact </w:t>
      </w:r>
      <w:r w:rsidR="006C0C09" w:rsidRPr="00C579D1">
        <w:rPr>
          <w:lang w:val="fr-FR"/>
        </w:rPr>
        <w:t>des modes de vie sur la consommation des ressources</w:t>
      </w:r>
      <w:r w:rsidR="0082742A" w:rsidRPr="00C579D1">
        <w:rPr>
          <w:lang w:val="fr-FR"/>
        </w:rPr>
        <w:t>;</w:t>
      </w:r>
      <w:r w:rsidR="00670A3F" w:rsidRPr="00C579D1">
        <w:rPr>
          <w:lang w:val="fr-FR"/>
        </w:rPr>
        <w:t xml:space="preserve"> </w:t>
      </w:r>
      <w:r w:rsidR="006C0C09" w:rsidRPr="00C579D1">
        <w:rPr>
          <w:lang w:val="fr-FR"/>
        </w:rPr>
        <w:t>et la nécessité d’améliorer la productivité des ressources et de faire mieux prendre conscience de la valeur du capital naturel</w:t>
      </w:r>
      <w:r w:rsidR="006C4C5E" w:rsidRPr="00C579D1">
        <w:rPr>
          <w:lang w:val="fr-FR"/>
        </w:rPr>
        <w:t>.</w:t>
      </w:r>
      <w:r w:rsidR="00457EAF" w:rsidRPr="00C579D1">
        <w:rPr>
          <w:lang w:val="fr-FR"/>
        </w:rPr>
        <w:t xml:space="preserve"> </w:t>
      </w:r>
      <w:r w:rsidR="00AC7B95" w:rsidRPr="00C579D1">
        <w:rPr>
          <w:lang w:val="fr-FR"/>
        </w:rPr>
        <w:t xml:space="preserve">Les évaluations régionales fournissent une analyse claire de l’incidence de ces tendances globales sur la qualité de l’air, la qualité et la quantité des ressources en eau, les changements </w:t>
      </w:r>
      <w:r w:rsidR="007C0C58">
        <w:rPr>
          <w:lang w:val="fr-FR"/>
        </w:rPr>
        <w:t>dans l’utilisation</w:t>
      </w:r>
      <w:r w:rsidR="00AC7B95" w:rsidRPr="00C579D1">
        <w:rPr>
          <w:lang w:val="fr-FR"/>
        </w:rPr>
        <w:t xml:space="preserve"> et la dégradation des terres ainsi que la perte de diversité biologique</w:t>
      </w:r>
      <w:r w:rsidR="00457EAF" w:rsidRPr="00C579D1">
        <w:rPr>
          <w:lang w:val="fr-FR"/>
        </w:rPr>
        <w:t xml:space="preserve">. </w:t>
      </w:r>
      <w:r w:rsidR="00AC7B95" w:rsidRPr="00C579D1">
        <w:rPr>
          <w:lang w:val="fr-FR"/>
        </w:rPr>
        <w:t xml:space="preserve">Même si certaines régions subissent des </w:t>
      </w:r>
      <w:r w:rsidR="00D45D05" w:rsidRPr="00C579D1">
        <w:rPr>
          <w:lang w:val="fr-FR"/>
        </w:rPr>
        <w:t>conséquences</w:t>
      </w:r>
      <w:r w:rsidR="00AC7B95" w:rsidRPr="00C579D1">
        <w:rPr>
          <w:lang w:val="fr-FR"/>
        </w:rPr>
        <w:t xml:space="preserve"> plus graves liées à des problèmes environnementaux spécifiques, </w:t>
      </w:r>
      <w:r w:rsidR="007C0C58">
        <w:rPr>
          <w:lang w:val="fr-FR"/>
        </w:rPr>
        <w:t>le</w:t>
      </w:r>
      <w:r w:rsidR="00D45D05" w:rsidRPr="00C579D1">
        <w:rPr>
          <w:lang w:val="fr-FR"/>
        </w:rPr>
        <w:t xml:space="preserve"> message </w:t>
      </w:r>
      <w:r w:rsidR="007C0C58">
        <w:rPr>
          <w:lang w:val="fr-FR"/>
        </w:rPr>
        <w:t>ressortant d’une manière générale de toutes les régions est que l</w:t>
      </w:r>
      <w:r w:rsidR="00D45D05" w:rsidRPr="00C579D1">
        <w:rPr>
          <w:lang w:val="fr-FR"/>
        </w:rPr>
        <w:t xml:space="preserve">es </w:t>
      </w:r>
      <w:r w:rsidR="007C0C58">
        <w:rPr>
          <w:lang w:val="fr-FR"/>
        </w:rPr>
        <w:t>impacts se font ressentir</w:t>
      </w:r>
      <w:r w:rsidR="00D45D05" w:rsidRPr="00C579D1">
        <w:rPr>
          <w:lang w:val="fr-FR"/>
        </w:rPr>
        <w:t xml:space="preserve"> et que les réponses politiques sont souvent insuffisantes pour </w:t>
      </w:r>
      <w:r w:rsidR="007C0C58">
        <w:rPr>
          <w:lang w:val="fr-FR"/>
        </w:rPr>
        <w:t>faire face à ces impacts</w:t>
      </w:r>
      <w:r w:rsidR="00457EAF" w:rsidRPr="00C579D1">
        <w:rPr>
          <w:lang w:val="fr-FR"/>
        </w:rPr>
        <w:t>.</w:t>
      </w:r>
      <w:r w:rsidR="00EF0991" w:rsidRPr="00C579D1">
        <w:rPr>
          <w:lang w:val="fr-FR"/>
        </w:rPr>
        <w:t xml:space="preserve"> </w:t>
      </w:r>
    </w:p>
    <w:p w:rsidR="006C4C5E" w:rsidRPr="00C579D1" w:rsidRDefault="00F63FF9">
      <w:pPr>
        <w:pStyle w:val="CH2"/>
        <w:rPr>
          <w:szCs w:val="20"/>
          <w:lang w:val="fr-FR"/>
        </w:rPr>
      </w:pPr>
      <w:r w:rsidRPr="00C579D1">
        <w:rPr>
          <w:lang w:val="fr-FR"/>
        </w:rPr>
        <w:tab/>
      </w:r>
      <w:r w:rsidR="006C4C5E" w:rsidRPr="00C579D1">
        <w:rPr>
          <w:lang w:val="fr-FR"/>
        </w:rPr>
        <w:t>B.</w:t>
      </w:r>
      <w:r w:rsidR="006C4C5E" w:rsidRPr="00C579D1">
        <w:rPr>
          <w:lang w:val="fr-FR"/>
        </w:rPr>
        <w:tab/>
      </w:r>
      <w:r w:rsidR="00537223" w:rsidRPr="00C579D1">
        <w:rPr>
          <w:lang w:val="fr-FR"/>
        </w:rPr>
        <w:t>R</w:t>
      </w:r>
      <w:r w:rsidR="00D45D05" w:rsidRPr="00C579D1">
        <w:rPr>
          <w:szCs w:val="20"/>
          <w:lang w:val="fr-FR"/>
        </w:rPr>
        <w:t xml:space="preserve">apport sur les perspectives mondiales en matière de genre et d’environnement </w:t>
      </w:r>
    </w:p>
    <w:p w:rsidR="006C4C5E" w:rsidRPr="00C579D1" w:rsidRDefault="004D0E8F" w:rsidP="006A33EE">
      <w:pPr>
        <w:pStyle w:val="Normalnumber"/>
        <w:tabs>
          <w:tab w:val="clear" w:pos="967"/>
          <w:tab w:val="clear" w:pos="1247"/>
          <w:tab w:val="clear" w:pos="1871"/>
          <w:tab w:val="left" w:pos="1843"/>
        </w:tabs>
        <w:ind w:left="1260"/>
        <w:rPr>
          <w:lang w:val="fr-FR"/>
        </w:rPr>
      </w:pPr>
      <w:r w:rsidRPr="00C579D1">
        <w:rPr>
          <w:lang w:val="fr-FR"/>
        </w:rPr>
        <w:t>Le</w:t>
      </w:r>
      <w:r w:rsidR="006C4C5E" w:rsidRPr="00C579D1">
        <w:rPr>
          <w:lang w:val="fr-FR"/>
        </w:rPr>
        <w:t xml:space="preserve"> </w:t>
      </w:r>
      <w:r w:rsidR="00537223" w:rsidRPr="00BA53C8">
        <w:rPr>
          <w:i/>
          <w:lang w:val="fr-FR"/>
        </w:rPr>
        <w:t>R</w:t>
      </w:r>
      <w:r w:rsidRPr="00BA53C8">
        <w:rPr>
          <w:i/>
          <w:lang w:val="fr-FR"/>
        </w:rPr>
        <w:t>apport sur les perspectives mondiales en matière de genre et d’environnement</w:t>
      </w:r>
      <w:r w:rsidRPr="00C579D1">
        <w:rPr>
          <w:i/>
          <w:lang w:val="fr-FR"/>
        </w:rPr>
        <w:t>,</w:t>
      </w:r>
      <w:r w:rsidRPr="00C579D1">
        <w:rPr>
          <w:lang w:val="fr-FR"/>
        </w:rPr>
        <w:t xml:space="preserve"> qui sera </w:t>
      </w:r>
      <w:r w:rsidR="00537223" w:rsidRPr="00C579D1">
        <w:rPr>
          <w:lang w:val="fr-FR"/>
        </w:rPr>
        <w:t xml:space="preserve">lancé </w:t>
      </w:r>
      <w:r w:rsidRPr="00C579D1">
        <w:rPr>
          <w:lang w:val="fr-FR"/>
        </w:rPr>
        <w:t>avant la de</w:t>
      </w:r>
      <w:r w:rsidR="00044AF3" w:rsidRPr="00C579D1">
        <w:rPr>
          <w:lang w:val="fr-FR"/>
        </w:rPr>
        <w:t>uxième </w:t>
      </w:r>
      <w:r w:rsidRPr="00C579D1">
        <w:rPr>
          <w:lang w:val="fr-FR"/>
        </w:rPr>
        <w:t>session de l’Assemblée des Nations Unies pour l’environnement</w:t>
      </w:r>
      <w:r w:rsidR="00031B9D" w:rsidRPr="00C579D1">
        <w:rPr>
          <w:lang w:val="fr-FR"/>
        </w:rPr>
        <w:t>,</w:t>
      </w:r>
      <w:r w:rsidRPr="00C579D1">
        <w:rPr>
          <w:lang w:val="fr-FR"/>
        </w:rPr>
        <w:t xml:space="preserve"> est la première évaluation globale intégrée concernant le genre et l’environnement</w:t>
      </w:r>
      <w:r w:rsidR="006C4C5E" w:rsidRPr="00C579D1">
        <w:rPr>
          <w:lang w:val="fr-FR"/>
        </w:rPr>
        <w:t>.</w:t>
      </w:r>
      <w:r w:rsidRPr="00C579D1">
        <w:rPr>
          <w:lang w:val="fr-FR"/>
        </w:rPr>
        <w:t xml:space="preserve"> Le principal objectif de l’évaluation est d’informer les décideurs sur la manière dont les conditions environnementales </w:t>
      </w:r>
      <w:r w:rsidR="00D01129" w:rsidRPr="00C579D1">
        <w:rPr>
          <w:lang w:val="fr-FR"/>
        </w:rPr>
        <w:t>affectent</w:t>
      </w:r>
      <w:r w:rsidRPr="00C579D1">
        <w:rPr>
          <w:lang w:val="fr-FR"/>
        </w:rPr>
        <w:t xml:space="preserve"> les vies des femmes et des hommes </w:t>
      </w:r>
      <w:r w:rsidR="00D01129" w:rsidRPr="00C579D1">
        <w:rPr>
          <w:lang w:val="fr-FR"/>
        </w:rPr>
        <w:t>de différentes manières en raison des inégalités existantes</w:t>
      </w:r>
      <w:r w:rsidR="006C4C5E" w:rsidRPr="00C579D1">
        <w:rPr>
          <w:lang w:val="fr-FR"/>
        </w:rPr>
        <w:t xml:space="preserve"> </w:t>
      </w:r>
      <w:r w:rsidR="00D01129" w:rsidRPr="00C579D1">
        <w:rPr>
          <w:lang w:val="fr-FR"/>
        </w:rPr>
        <w:t xml:space="preserve">tout en </w:t>
      </w:r>
      <w:r w:rsidR="00D01129" w:rsidRPr="00C579D1">
        <w:rPr>
          <w:lang w:val="fr-FR"/>
        </w:rPr>
        <w:lastRenderedPageBreak/>
        <w:t>soulignant</w:t>
      </w:r>
      <w:r w:rsidR="006C4C5E" w:rsidRPr="00C579D1">
        <w:rPr>
          <w:lang w:val="fr-FR"/>
        </w:rPr>
        <w:t xml:space="preserve"> </w:t>
      </w:r>
      <w:r w:rsidR="00D01129" w:rsidRPr="00C579D1">
        <w:rPr>
          <w:lang w:val="fr-FR"/>
        </w:rPr>
        <w:t>les interactions entre les activités humaines et l’environnement sous l’angle de la problématique hommes-femmes</w:t>
      </w:r>
      <w:r w:rsidR="00277F9A" w:rsidRPr="00C579D1">
        <w:rPr>
          <w:lang w:val="fr-FR"/>
        </w:rPr>
        <w:t xml:space="preserve">. </w:t>
      </w:r>
      <w:r w:rsidR="00D01129" w:rsidRPr="00C579D1">
        <w:rPr>
          <w:lang w:val="fr-FR"/>
        </w:rPr>
        <w:t>L’analyse du lien entre le genre et l’environnement utilise le cadre analytique forces motric</w:t>
      </w:r>
      <w:r w:rsidR="00044AF3" w:rsidRPr="00C579D1">
        <w:rPr>
          <w:lang w:val="fr-FR"/>
        </w:rPr>
        <w:t>es-pression-état-impact-réponse</w:t>
      </w:r>
      <w:r w:rsidR="00277F9A" w:rsidRPr="00C579D1">
        <w:rPr>
          <w:lang w:val="fr-FR"/>
        </w:rPr>
        <w:t xml:space="preserve">. </w:t>
      </w:r>
      <w:r w:rsidR="00D01129" w:rsidRPr="00C579D1">
        <w:rPr>
          <w:lang w:val="fr-FR"/>
        </w:rPr>
        <w:t xml:space="preserve">L’évaluation vise également à informer les gouvernements sur les rôles potentiels </w:t>
      </w:r>
      <w:r w:rsidR="005550E1">
        <w:rPr>
          <w:lang w:val="fr-FR"/>
        </w:rPr>
        <w:t>que jouent les hommes, les femmes, l</w:t>
      </w:r>
      <w:r w:rsidR="00D01129" w:rsidRPr="00C579D1">
        <w:rPr>
          <w:lang w:val="fr-FR"/>
        </w:rPr>
        <w:t xml:space="preserve">es garçons et </w:t>
      </w:r>
      <w:r w:rsidR="005550E1">
        <w:rPr>
          <w:lang w:val="fr-FR"/>
        </w:rPr>
        <w:t>l</w:t>
      </w:r>
      <w:r w:rsidR="00D01129" w:rsidRPr="00C579D1">
        <w:rPr>
          <w:lang w:val="fr-FR"/>
        </w:rPr>
        <w:t xml:space="preserve">es filles </w:t>
      </w:r>
      <w:r w:rsidR="001F574C" w:rsidRPr="00C579D1">
        <w:rPr>
          <w:lang w:val="fr-FR"/>
        </w:rPr>
        <w:t xml:space="preserve">en tant qu’agents du changement dans la conservation et la gestion de l’environnement et sur la manière dont </w:t>
      </w:r>
      <w:r w:rsidR="005550E1">
        <w:rPr>
          <w:lang w:val="fr-FR"/>
        </w:rPr>
        <w:t>ils</w:t>
      </w:r>
      <w:r w:rsidR="001F574C" w:rsidRPr="00C579D1">
        <w:rPr>
          <w:lang w:val="fr-FR"/>
        </w:rPr>
        <w:t xml:space="preserve"> peuvent être encouragés </w:t>
      </w:r>
      <w:r w:rsidR="005550E1">
        <w:rPr>
          <w:lang w:val="fr-FR"/>
        </w:rPr>
        <w:t xml:space="preserve">à jouer </w:t>
      </w:r>
      <w:r w:rsidR="00CA5CA2" w:rsidRPr="00C579D1">
        <w:rPr>
          <w:lang w:val="fr-FR"/>
        </w:rPr>
        <w:t>de</w:t>
      </w:r>
      <w:r w:rsidR="001F574C" w:rsidRPr="00C579D1">
        <w:rPr>
          <w:lang w:val="fr-FR"/>
        </w:rPr>
        <w:t xml:space="preserve"> tels rôles</w:t>
      </w:r>
      <w:r w:rsidR="005550E1">
        <w:rPr>
          <w:lang w:val="fr-FR"/>
        </w:rPr>
        <w:t>, ou empêchés de le faire</w:t>
      </w:r>
      <w:r w:rsidR="006C4C5E" w:rsidRPr="00C579D1">
        <w:rPr>
          <w:lang w:val="fr-FR"/>
        </w:rPr>
        <w:t>.</w:t>
      </w:r>
    </w:p>
    <w:p w:rsidR="006C4C5E" w:rsidRPr="00C579D1" w:rsidRDefault="00CC4359" w:rsidP="006A33EE">
      <w:pPr>
        <w:pStyle w:val="Normalnumber"/>
        <w:tabs>
          <w:tab w:val="clear" w:pos="967"/>
          <w:tab w:val="clear" w:pos="1247"/>
          <w:tab w:val="clear" w:pos="1871"/>
          <w:tab w:val="left" w:pos="1843"/>
        </w:tabs>
        <w:ind w:left="1260"/>
        <w:rPr>
          <w:lang w:val="fr-FR"/>
        </w:rPr>
      </w:pPr>
      <w:r w:rsidRPr="00C579D1">
        <w:rPr>
          <w:lang w:val="fr-FR"/>
        </w:rPr>
        <w:t>Le</w:t>
      </w:r>
      <w:r w:rsidR="006C4C5E" w:rsidRPr="00C579D1">
        <w:rPr>
          <w:lang w:val="fr-FR"/>
        </w:rPr>
        <w:t xml:space="preserve"> </w:t>
      </w:r>
      <w:r w:rsidR="0048454F" w:rsidRPr="005550E1">
        <w:rPr>
          <w:i/>
          <w:lang w:val="fr-FR"/>
        </w:rPr>
        <w:t>R</w:t>
      </w:r>
      <w:r w:rsidRPr="005550E1">
        <w:rPr>
          <w:i/>
          <w:lang w:val="fr-FR"/>
        </w:rPr>
        <w:t>apport sur les perspectives mondiales en matière de genre et d’environnement</w:t>
      </w:r>
      <w:r w:rsidRPr="00C579D1">
        <w:rPr>
          <w:lang w:val="fr-FR"/>
        </w:rPr>
        <w:t xml:space="preserve"> </w:t>
      </w:r>
      <w:r w:rsidR="005550E1">
        <w:rPr>
          <w:lang w:val="fr-FR"/>
        </w:rPr>
        <w:t>esquisse le</w:t>
      </w:r>
      <w:r w:rsidR="0048454F" w:rsidRPr="00C579D1">
        <w:rPr>
          <w:lang w:val="fr-FR"/>
        </w:rPr>
        <w:t xml:space="preserve"> lien entre le gen</w:t>
      </w:r>
      <w:r w:rsidRPr="00C579D1">
        <w:rPr>
          <w:lang w:val="fr-FR"/>
        </w:rPr>
        <w:t>re et l’environnement</w:t>
      </w:r>
      <w:r w:rsidR="00031B9D" w:rsidRPr="00C579D1">
        <w:rPr>
          <w:lang w:val="fr-FR"/>
        </w:rPr>
        <w:t>,</w:t>
      </w:r>
      <w:r w:rsidRPr="00C579D1">
        <w:rPr>
          <w:lang w:val="fr-FR"/>
        </w:rPr>
        <w:t xml:space="preserve"> y compris les tendances, dans six des domaines thématiques des</w:t>
      </w:r>
      <w:r w:rsidR="00031B9D" w:rsidRPr="00C579D1">
        <w:rPr>
          <w:lang w:val="fr-FR"/>
        </w:rPr>
        <w:t xml:space="preserve"> </w:t>
      </w:r>
      <w:r w:rsidRPr="00C579D1">
        <w:rPr>
          <w:lang w:val="fr-FR"/>
        </w:rPr>
        <w:t>objectifs de développement durable </w:t>
      </w:r>
      <w:r w:rsidR="00C86742" w:rsidRPr="00C579D1">
        <w:rPr>
          <w:lang w:val="fr-FR"/>
        </w:rPr>
        <w:t xml:space="preserve">: </w:t>
      </w:r>
      <w:r w:rsidRPr="00C579D1">
        <w:rPr>
          <w:lang w:val="fr-FR"/>
        </w:rPr>
        <w:t>sécurité alimentaire</w:t>
      </w:r>
      <w:r w:rsidR="006C4C5E" w:rsidRPr="00C579D1">
        <w:rPr>
          <w:lang w:val="fr-FR"/>
        </w:rPr>
        <w:t xml:space="preserve">, </w:t>
      </w:r>
      <w:r w:rsidR="0070515A" w:rsidRPr="00C579D1">
        <w:rPr>
          <w:lang w:val="fr-FR"/>
        </w:rPr>
        <w:t>eau et assainissement</w:t>
      </w:r>
      <w:r w:rsidR="006C4C5E" w:rsidRPr="00C579D1">
        <w:rPr>
          <w:lang w:val="fr-FR"/>
        </w:rPr>
        <w:t xml:space="preserve">, </w:t>
      </w:r>
      <w:r w:rsidR="0070515A" w:rsidRPr="00C579D1">
        <w:rPr>
          <w:lang w:val="fr-FR"/>
        </w:rPr>
        <w:t>énergie</w:t>
      </w:r>
      <w:r w:rsidR="006C4C5E" w:rsidRPr="00C579D1">
        <w:rPr>
          <w:lang w:val="fr-FR"/>
        </w:rPr>
        <w:t>, oc</w:t>
      </w:r>
      <w:r w:rsidR="0070515A" w:rsidRPr="00C579D1">
        <w:rPr>
          <w:lang w:val="fr-FR"/>
        </w:rPr>
        <w:t>é</w:t>
      </w:r>
      <w:r w:rsidR="006C4C5E" w:rsidRPr="00C579D1">
        <w:rPr>
          <w:lang w:val="fr-FR"/>
        </w:rPr>
        <w:t xml:space="preserve">ans </w:t>
      </w:r>
      <w:r w:rsidR="0070515A" w:rsidRPr="00C579D1">
        <w:rPr>
          <w:lang w:val="fr-FR"/>
        </w:rPr>
        <w:t>et pêche</w:t>
      </w:r>
      <w:r w:rsidR="006C4C5E" w:rsidRPr="00C579D1">
        <w:rPr>
          <w:lang w:val="fr-FR"/>
        </w:rPr>
        <w:t>,</w:t>
      </w:r>
      <w:r w:rsidR="00C86742" w:rsidRPr="00C579D1">
        <w:rPr>
          <w:lang w:val="fr-FR"/>
        </w:rPr>
        <w:t xml:space="preserve"> </w:t>
      </w:r>
      <w:r w:rsidR="006C4C5E" w:rsidRPr="00C579D1">
        <w:rPr>
          <w:lang w:val="fr-FR"/>
        </w:rPr>
        <w:t>for</w:t>
      </w:r>
      <w:r w:rsidR="0070515A" w:rsidRPr="00C579D1">
        <w:rPr>
          <w:lang w:val="fr-FR"/>
        </w:rPr>
        <w:t>ê</w:t>
      </w:r>
      <w:r w:rsidR="006C4C5E" w:rsidRPr="00C579D1">
        <w:rPr>
          <w:lang w:val="fr-FR"/>
        </w:rPr>
        <w:t>t</w:t>
      </w:r>
      <w:r w:rsidR="00031B9D" w:rsidRPr="00C579D1">
        <w:rPr>
          <w:lang w:val="fr-FR"/>
        </w:rPr>
        <w:t>s</w:t>
      </w:r>
      <w:r w:rsidR="006C4C5E" w:rsidRPr="00C579D1">
        <w:rPr>
          <w:lang w:val="fr-FR"/>
        </w:rPr>
        <w:t xml:space="preserve"> </w:t>
      </w:r>
      <w:r w:rsidR="0070515A" w:rsidRPr="00C579D1">
        <w:rPr>
          <w:lang w:val="fr-FR"/>
        </w:rPr>
        <w:t>et autres écosystèmes terrestres, et</w:t>
      </w:r>
      <w:r w:rsidR="00C86742" w:rsidRPr="00C579D1">
        <w:rPr>
          <w:lang w:val="fr-FR"/>
        </w:rPr>
        <w:t xml:space="preserve"> </w:t>
      </w:r>
      <w:r w:rsidR="0070515A" w:rsidRPr="00C579D1">
        <w:rPr>
          <w:lang w:val="fr-FR"/>
        </w:rPr>
        <w:t>modes de consommation et de production durables</w:t>
      </w:r>
      <w:r w:rsidR="006C4C5E" w:rsidRPr="00C579D1">
        <w:rPr>
          <w:lang w:val="fr-FR"/>
        </w:rPr>
        <w:t>.</w:t>
      </w:r>
      <w:r w:rsidR="0070515A" w:rsidRPr="00C579D1">
        <w:rPr>
          <w:lang w:val="fr-FR"/>
        </w:rPr>
        <w:t xml:space="preserve"> L’analyse de ces domaines est systématiquement basée sur plusieurs questions</w:t>
      </w:r>
      <w:r w:rsidR="006C4C5E" w:rsidRPr="00C579D1">
        <w:rPr>
          <w:lang w:val="fr-FR"/>
        </w:rPr>
        <w:t xml:space="preserve"> </w:t>
      </w:r>
      <w:r w:rsidR="0070515A" w:rsidRPr="00C579D1">
        <w:rPr>
          <w:lang w:val="fr-FR"/>
        </w:rPr>
        <w:t>transversales</w:t>
      </w:r>
      <w:r w:rsidR="00C86742" w:rsidRPr="00C579D1">
        <w:rPr>
          <w:lang w:val="fr-FR"/>
        </w:rPr>
        <w:t>,</w:t>
      </w:r>
      <w:r w:rsidR="0070515A" w:rsidRPr="00C579D1">
        <w:rPr>
          <w:lang w:val="fr-FR"/>
        </w:rPr>
        <w:t xml:space="preserve"> notamment la santé des êtres humains, les changements climatiques,</w:t>
      </w:r>
      <w:r w:rsidR="00BB2CFD" w:rsidRPr="00C579D1">
        <w:rPr>
          <w:lang w:val="fr-FR"/>
        </w:rPr>
        <w:t xml:space="preserve"> la gestion des catastrophes et des conflits</w:t>
      </w:r>
      <w:r w:rsidR="006C4C5E" w:rsidRPr="00C579D1">
        <w:rPr>
          <w:lang w:val="fr-FR"/>
        </w:rPr>
        <w:t xml:space="preserve"> </w:t>
      </w:r>
      <w:r w:rsidR="00BB2CFD" w:rsidRPr="00C579D1">
        <w:rPr>
          <w:lang w:val="fr-FR"/>
        </w:rPr>
        <w:t>et la diversité biologique</w:t>
      </w:r>
      <w:r w:rsidR="006C4C5E" w:rsidRPr="00C579D1">
        <w:rPr>
          <w:lang w:val="fr-FR"/>
        </w:rPr>
        <w:t>.</w:t>
      </w:r>
      <w:r w:rsidR="00BB2CFD" w:rsidRPr="00C579D1">
        <w:rPr>
          <w:lang w:val="fr-FR"/>
        </w:rPr>
        <w:t xml:space="preserve"> D’autres parties du rapport</w:t>
      </w:r>
      <w:r w:rsidR="00CB732D" w:rsidRPr="00C579D1">
        <w:rPr>
          <w:lang w:val="fr-FR"/>
        </w:rPr>
        <w:t xml:space="preserve"> </w:t>
      </w:r>
      <w:r w:rsidR="00BB2CFD" w:rsidRPr="00C579D1">
        <w:rPr>
          <w:lang w:val="fr-FR"/>
        </w:rPr>
        <w:t xml:space="preserve">présentent la situation dans son ensemble en termes de perspectives ainsi que les principales tendances mondiales </w:t>
      </w:r>
      <w:r w:rsidR="0048454F" w:rsidRPr="00C579D1">
        <w:rPr>
          <w:lang w:val="fr-FR"/>
        </w:rPr>
        <w:t xml:space="preserve">de nature à favoriser </w:t>
      </w:r>
      <w:r w:rsidR="00BB2CFD" w:rsidRPr="00C579D1">
        <w:rPr>
          <w:lang w:val="fr-FR"/>
        </w:rPr>
        <w:t xml:space="preserve">un </w:t>
      </w:r>
      <w:r w:rsidR="006D691C" w:rsidRPr="00C579D1">
        <w:rPr>
          <w:lang w:val="fr-FR"/>
        </w:rPr>
        <w:t>progrès en matière d</w:t>
      </w:r>
      <w:r w:rsidR="00BB2CFD" w:rsidRPr="00C579D1">
        <w:rPr>
          <w:lang w:val="fr-FR"/>
        </w:rPr>
        <w:t>’égalité des sexes</w:t>
      </w:r>
      <w:r w:rsidR="00A14D5D" w:rsidRPr="00C579D1">
        <w:rPr>
          <w:lang w:val="fr-FR"/>
        </w:rPr>
        <w:t xml:space="preserve">; </w:t>
      </w:r>
      <w:r w:rsidR="00BB2CFD" w:rsidRPr="00C579D1">
        <w:rPr>
          <w:lang w:val="fr-FR"/>
        </w:rPr>
        <w:t>un ensemble de solutions et outils politiques</w:t>
      </w:r>
      <w:r w:rsidR="00A14D5D" w:rsidRPr="00C579D1">
        <w:rPr>
          <w:lang w:val="fr-FR"/>
        </w:rPr>
        <w:t xml:space="preserve"> </w:t>
      </w:r>
      <w:r w:rsidR="00BB2CFD" w:rsidRPr="00C579D1">
        <w:rPr>
          <w:lang w:val="fr-FR"/>
        </w:rPr>
        <w:t xml:space="preserve">permettant de mieux </w:t>
      </w:r>
      <w:r w:rsidR="001B3BAD" w:rsidRPr="00C579D1">
        <w:rPr>
          <w:lang w:val="fr-FR"/>
        </w:rPr>
        <w:t>prendre en compte la problématique hommes-femmes dans les politiques relatives à l’environnement et au développement</w:t>
      </w:r>
      <w:r w:rsidR="00A14D5D" w:rsidRPr="00C579D1">
        <w:rPr>
          <w:lang w:val="fr-FR"/>
        </w:rPr>
        <w:t xml:space="preserve">; </w:t>
      </w:r>
      <w:r w:rsidR="001B3BAD" w:rsidRPr="00C579D1">
        <w:rPr>
          <w:lang w:val="fr-FR"/>
        </w:rPr>
        <w:t>et une série d’options politiques et de réponses</w:t>
      </w:r>
      <w:r w:rsidR="00A14D5D" w:rsidRPr="00C579D1">
        <w:rPr>
          <w:lang w:val="fr-FR"/>
        </w:rPr>
        <w:t xml:space="preserve"> </w:t>
      </w:r>
      <w:r w:rsidR="001B3BAD" w:rsidRPr="00C579D1">
        <w:rPr>
          <w:lang w:val="fr-FR"/>
        </w:rPr>
        <w:t>axées sur les s</w:t>
      </w:r>
      <w:r w:rsidR="006D691C" w:rsidRPr="00C579D1">
        <w:rPr>
          <w:lang w:val="fr-FR"/>
        </w:rPr>
        <w:t>olutions</w:t>
      </w:r>
      <w:r w:rsidR="001B3BAD" w:rsidRPr="00C579D1">
        <w:rPr>
          <w:lang w:val="fr-FR"/>
        </w:rPr>
        <w:t xml:space="preserve"> s’appuyant sur les meilleures pratiques et des études de cas exemplaires</w:t>
      </w:r>
      <w:r w:rsidR="00A14D5D" w:rsidRPr="00C579D1">
        <w:rPr>
          <w:lang w:val="fr-FR"/>
        </w:rPr>
        <w:t>.</w:t>
      </w:r>
    </w:p>
    <w:p w:rsidR="006C4C5E" w:rsidRPr="00C579D1" w:rsidRDefault="006C4C5E" w:rsidP="006C4C5E">
      <w:pPr>
        <w:pStyle w:val="CH2"/>
        <w:rPr>
          <w:lang w:val="fr-FR"/>
        </w:rPr>
      </w:pPr>
      <w:r w:rsidRPr="00C579D1">
        <w:rPr>
          <w:lang w:val="fr-FR"/>
        </w:rPr>
        <w:tab/>
        <w:t>C.</w:t>
      </w:r>
      <w:r w:rsidRPr="00C579D1">
        <w:rPr>
          <w:lang w:val="fr-FR"/>
        </w:rPr>
        <w:tab/>
      </w:r>
      <w:r w:rsidR="00883D83">
        <w:rPr>
          <w:lang w:val="fr-FR"/>
        </w:rPr>
        <w:t>« </w:t>
      </w:r>
      <w:proofErr w:type="spellStart"/>
      <w:r w:rsidR="00F375D5" w:rsidRPr="00C579D1">
        <w:rPr>
          <w:lang w:val="fr-FR"/>
        </w:rPr>
        <w:t>Frontier</w:t>
      </w:r>
      <w:r w:rsidR="006E0817" w:rsidRPr="00C579D1">
        <w:rPr>
          <w:lang w:val="fr-FR"/>
        </w:rPr>
        <w:t>s</w:t>
      </w:r>
      <w:proofErr w:type="spellEnd"/>
      <w:r w:rsidR="006E0817" w:rsidRPr="00C579D1">
        <w:rPr>
          <w:lang w:val="fr-FR"/>
        </w:rPr>
        <w:t xml:space="preserve"> Report</w:t>
      </w:r>
      <w:r w:rsidR="00883D83">
        <w:rPr>
          <w:lang w:val="fr-FR"/>
        </w:rPr>
        <w:t> »</w:t>
      </w:r>
      <w:r w:rsidR="00F007F4" w:rsidRPr="00C579D1">
        <w:rPr>
          <w:lang w:val="fr-FR"/>
        </w:rPr>
        <w:t xml:space="preserve"> 2016 du PNUE</w:t>
      </w:r>
      <w:r w:rsidR="004C44F7" w:rsidRPr="00C579D1">
        <w:rPr>
          <w:lang w:val="fr-FR"/>
        </w:rPr>
        <w:t> </w:t>
      </w:r>
      <w:r w:rsidR="004C1097" w:rsidRPr="00C579D1">
        <w:rPr>
          <w:lang w:val="fr-FR"/>
        </w:rPr>
        <w:t>:</w:t>
      </w:r>
      <w:r w:rsidR="00F375D5" w:rsidRPr="00C579D1">
        <w:rPr>
          <w:lang w:val="fr-FR"/>
        </w:rPr>
        <w:t xml:space="preserve"> </w:t>
      </w:r>
      <w:r w:rsidR="004C44F7" w:rsidRPr="00C579D1">
        <w:rPr>
          <w:lang w:val="fr-FR"/>
        </w:rPr>
        <w:t xml:space="preserve">établissement de rapports sur les </w:t>
      </w:r>
      <w:r w:rsidR="00883D83" w:rsidRPr="00C579D1">
        <w:rPr>
          <w:lang w:val="fr-FR"/>
        </w:rPr>
        <w:t xml:space="preserve">nouvelles </w:t>
      </w:r>
      <w:r w:rsidR="004C44F7" w:rsidRPr="00C579D1">
        <w:rPr>
          <w:lang w:val="fr-FR"/>
        </w:rPr>
        <w:t xml:space="preserve">questions </w:t>
      </w:r>
    </w:p>
    <w:p w:rsidR="006C4C5E" w:rsidRPr="00C579D1" w:rsidRDefault="004C44F7" w:rsidP="006A33EE">
      <w:pPr>
        <w:pStyle w:val="Normalnumber"/>
        <w:tabs>
          <w:tab w:val="clear" w:pos="967"/>
          <w:tab w:val="clear" w:pos="1247"/>
          <w:tab w:val="clear" w:pos="1871"/>
          <w:tab w:val="left" w:pos="1843"/>
        </w:tabs>
        <w:ind w:left="1260"/>
        <w:rPr>
          <w:lang w:val="fr-FR"/>
        </w:rPr>
      </w:pPr>
      <w:r w:rsidRPr="00C579D1">
        <w:rPr>
          <w:lang w:val="fr-FR"/>
        </w:rPr>
        <w:t>Le</w:t>
      </w:r>
      <w:r w:rsidR="00A7407E" w:rsidRPr="00C579D1">
        <w:rPr>
          <w:lang w:val="fr-FR"/>
        </w:rPr>
        <w:t xml:space="preserve"> </w:t>
      </w:r>
      <w:r w:rsidR="00883D83">
        <w:rPr>
          <w:lang w:val="fr-FR"/>
        </w:rPr>
        <w:t>« </w:t>
      </w:r>
      <w:proofErr w:type="spellStart"/>
      <w:r w:rsidR="00F375D5" w:rsidRPr="00C579D1">
        <w:rPr>
          <w:lang w:val="fr-FR"/>
        </w:rPr>
        <w:t>Frontier</w:t>
      </w:r>
      <w:r w:rsidR="006E0817" w:rsidRPr="00C579D1">
        <w:rPr>
          <w:lang w:val="fr-FR"/>
        </w:rPr>
        <w:t>s</w:t>
      </w:r>
      <w:proofErr w:type="spellEnd"/>
      <w:r w:rsidR="006E0817" w:rsidRPr="00C579D1">
        <w:rPr>
          <w:lang w:val="fr-FR"/>
        </w:rPr>
        <w:t xml:space="preserve"> Report</w:t>
      </w:r>
      <w:r w:rsidR="00883D83">
        <w:rPr>
          <w:lang w:val="fr-FR"/>
        </w:rPr>
        <w:t> »</w:t>
      </w:r>
      <w:r w:rsidR="00F007F4" w:rsidRPr="00C579D1">
        <w:rPr>
          <w:lang w:val="fr-FR"/>
        </w:rPr>
        <w:t xml:space="preserve"> 2016 du PNUE</w:t>
      </w:r>
      <w:r w:rsidR="00031B9D" w:rsidRPr="00C579D1">
        <w:rPr>
          <w:lang w:val="fr-FR"/>
        </w:rPr>
        <w:t xml:space="preserve"> </w:t>
      </w:r>
      <w:r w:rsidRPr="00C579D1">
        <w:rPr>
          <w:lang w:val="fr-FR"/>
        </w:rPr>
        <w:t>est un nouveau rapport</w:t>
      </w:r>
      <w:r w:rsidR="003B1C72">
        <w:rPr>
          <w:lang w:val="fr-FR"/>
        </w:rPr>
        <w:t xml:space="preserve"> annuel destiné à succéder à la </w:t>
      </w:r>
      <w:r w:rsidRPr="00C579D1">
        <w:rPr>
          <w:lang w:val="fr-FR"/>
        </w:rPr>
        <w:t xml:space="preserve">série </w:t>
      </w:r>
      <w:r w:rsidRPr="00883D83">
        <w:rPr>
          <w:i/>
          <w:lang w:val="fr-FR"/>
        </w:rPr>
        <w:t>des Annuaires du PNUE</w:t>
      </w:r>
      <w:r w:rsidR="00883D83">
        <w:rPr>
          <w:lang w:val="fr-FR"/>
        </w:rPr>
        <w:t>;</w:t>
      </w:r>
      <w:r w:rsidR="00F007F4" w:rsidRPr="00C579D1">
        <w:rPr>
          <w:lang w:val="fr-FR"/>
        </w:rPr>
        <w:t xml:space="preserve"> chacun de</w:t>
      </w:r>
      <w:r w:rsidR="00883D83">
        <w:rPr>
          <w:lang w:val="fr-FR"/>
        </w:rPr>
        <w:t xml:space="preserve"> ce</w:t>
      </w:r>
      <w:r w:rsidR="00F007F4" w:rsidRPr="00C579D1">
        <w:rPr>
          <w:lang w:val="fr-FR"/>
        </w:rPr>
        <w:t>s volumes sera basé sur un examen des nouvelles questions environnementales définies au cours de l’année précédente</w:t>
      </w:r>
      <w:r w:rsidR="00883D83">
        <w:rPr>
          <w:lang w:val="fr-FR"/>
        </w:rPr>
        <w:t xml:space="preserve">, qui sont </w:t>
      </w:r>
      <w:r w:rsidR="00F007F4" w:rsidRPr="00C579D1">
        <w:rPr>
          <w:lang w:val="fr-FR"/>
        </w:rPr>
        <w:t xml:space="preserve">susceptibles d’avoir des incidences significatives sur l’environnement, la santé des écosystèmes ou le bien-être </w:t>
      </w:r>
      <w:r w:rsidR="0048454F" w:rsidRPr="00C579D1">
        <w:rPr>
          <w:lang w:val="fr-FR"/>
        </w:rPr>
        <w:t>humain</w:t>
      </w:r>
      <w:r w:rsidR="006C4C5E" w:rsidRPr="00C579D1">
        <w:rPr>
          <w:lang w:val="fr-FR"/>
        </w:rPr>
        <w:t xml:space="preserve">. </w:t>
      </w:r>
      <w:r w:rsidR="003B1C72">
        <w:rPr>
          <w:lang w:val="fr-FR"/>
        </w:rPr>
        <w:t>Ce </w:t>
      </w:r>
      <w:r w:rsidR="00FA3910">
        <w:rPr>
          <w:lang w:val="fr-FR"/>
        </w:rPr>
        <w:t>r</w:t>
      </w:r>
      <w:r w:rsidR="0048454F" w:rsidRPr="00C579D1">
        <w:rPr>
          <w:lang w:val="fr-FR"/>
        </w:rPr>
        <w:t>apport</w:t>
      </w:r>
      <w:r w:rsidR="00F375D5" w:rsidRPr="00C579D1">
        <w:rPr>
          <w:lang w:val="fr-FR"/>
        </w:rPr>
        <w:t xml:space="preserve">, </w:t>
      </w:r>
      <w:r w:rsidR="00F007F4" w:rsidRPr="00C579D1">
        <w:rPr>
          <w:lang w:val="fr-FR"/>
        </w:rPr>
        <w:t xml:space="preserve">qui sera publié sous la forme d’un livre </w:t>
      </w:r>
      <w:r w:rsidR="006D691C" w:rsidRPr="00C579D1">
        <w:rPr>
          <w:lang w:val="fr-FR"/>
        </w:rPr>
        <w:t xml:space="preserve">électronique </w:t>
      </w:r>
      <w:r w:rsidR="00F007F4" w:rsidRPr="00C579D1">
        <w:rPr>
          <w:lang w:val="fr-FR"/>
        </w:rPr>
        <w:t>interactif, traite de six questions </w:t>
      </w:r>
      <w:r w:rsidR="006C4C5E" w:rsidRPr="00C579D1">
        <w:rPr>
          <w:lang w:val="fr-FR"/>
        </w:rPr>
        <w:t xml:space="preserve">: </w:t>
      </w:r>
    </w:p>
    <w:p w:rsidR="006C4C5E" w:rsidRPr="00C579D1" w:rsidRDefault="00F007F4" w:rsidP="0084080C">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Les effets combinés de la</w:t>
      </w:r>
      <w:r w:rsidR="006C4C5E" w:rsidRPr="00C579D1">
        <w:rPr>
          <w:lang w:val="fr-FR"/>
        </w:rPr>
        <w:t xml:space="preserve"> </w:t>
      </w:r>
      <w:r w:rsidRPr="00C579D1">
        <w:rPr>
          <w:lang w:val="fr-FR"/>
        </w:rPr>
        <w:t>variabilité du climat sur</w:t>
      </w:r>
      <w:r w:rsidR="006C4C5E" w:rsidRPr="00C579D1">
        <w:rPr>
          <w:lang w:val="fr-FR"/>
        </w:rPr>
        <w:t xml:space="preserve"> </w:t>
      </w:r>
      <w:r w:rsidRPr="00C579D1">
        <w:rPr>
          <w:lang w:val="fr-FR"/>
        </w:rPr>
        <w:t>l’accumulation des toxines dans les aliments issus de la production agricole</w:t>
      </w:r>
      <w:r w:rsidR="006C4C5E" w:rsidRPr="00C579D1">
        <w:rPr>
          <w:lang w:val="fr-FR"/>
        </w:rPr>
        <w:t xml:space="preserve"> </w:t>
      </w:r>
      <w:r w:rsidR="007F7B2B" w:rsidRPr="00C579D1">
        <w:rPr>
          <w:lang w:val="fr-FR"/>
        </w:rPr>
        <w:t>en tant que menace pour la sécurité alimentaire et</w:t>
      </w:r>
      <w:r w:rsidR="006C4C5E" w:rsidRPr="00C579D1">
        <w:rPr>
          <w:lang w:val="fr-FR"/>
        </w:rPr>
        <w:t xml:space="preserve"> </w:t>
      </w:r>
      <w:r w:rsidR="007F7B2B" w:rsidRPr="00C579D1">
        <w:rPr>
          <w:lang w:val="fr-FR"/>
        </w:rPr>
        <w:t>nutritionnelle</w:t>
      </w:r>
      <w:r w:rsidR="006C4C5E" w:rsidRPr="00C579D1">
        <w:rPr>
          <w:lang w:val="fr-FR"/>
        </w:rPr>
        <w:t>;</w:t>
      </w:r>
    </w:p>
    <w:p w:rsidR="006C4C5E" w:rsidRPr="00C579D1" w:rsidRDefault="00FA3910" w:rsidP="0084080C">
      <w:pPr>
        <w:pStyle w:val="Normalnumber"/>
        <w:numPr>
          <w:ilvl w:val="1"/>
          <w:numId w:val="4"/>
        </w:numPr>
        <w:tabs>
          <w:tab w:val="clear" w:pos="1134"/>
          <w:tab w:val="clear" w:pos="1247"/>
          <w:tab w:val="left" w:pos="2410"/>
        </w:tabs>
        <w:ind w:left="1276"/>
        <w:rPr>
          <w:lang w:val="fr-FR"/>
        </w:rPr>
      </w:pPr>
      <w:r>
        <w:rPr>
          <w:lang w:val="fr-FR"/>
        </w:rPr>
        <w:t xml:space="preserve">Les </w:t>
      </w:r>
      <w:proofErr w:type="spellStart"/>
      <w:r>
        <w:rPr>
          <w:lang w:val="fr-FR"/>
        </w:rPr>
        <w:t>m</w:t>
      </w:r>
      <w:r w:rsidR="007F7B2B" w:rsidRPr="00C579D1">
        <w:rPr>
          <w:lang w:val="fr-FR"/>
        </w:rPr>
        <w:t>icroplastique</w:t>
      </w:r>
      <w:r w:rsidR="006C4C5E" w:rsidRPr="00C579D1">
        <w:rPr>
          <w:lang w:val="fr-FR"/>
        </w:rPr>
        <w:t>s</w:t>
      </w:r>
      <w:proofErr w:type="spellEnd"/>
      <w:r w:rsidR="006C4C5E" w:rsidRPr="00C579D1">
        <w:rPr>
          <w:lang w:val="fr-FR"/>
        </w:rPr>
        <w:t xml:space="preserve"> </w:t>
      </w:r>
      <w:r w:rsidR="007F7B2B" w:rsidRPr="00C579D1">
        <w:rPr>
          <w:lang w:val="fr-FR"/>
        </w:rPr>
        <w:t>et fibres synthétiques dans</w:t>
      </w:r>
      <w:r w:rsidR="006C4C5E" w:rsidRPr="00C579D1">
        <w:rPr>
          <w:lang w:val="fr-FR"/>
        </w:rPr>
        <w:t xml:space="preserve"> </w:t>
      </w:r>
      <w:r w:rsidR="007F7B2B" w:rsidRPr="00C579D1">
        <w:rPr>
          <w:lang w:val="fr-FR"/>
        </w:rPr>
        <w:t>l’environnement aquatique</w:t>
      </w:r>
      <w:r w:rsidR="006C4C5E" w:rsidRPr="00C579D1">
        <w:rPr>
          <w:lang w:val="fr-FR"/>
        </w:rPr>
        <w:t>;</w:t>
      </w:r>
    </w:p>
    <w:p w:rsidR="006C4C5E" w:rsidRPr="00C579D1" w:rsidRDefault="00FA3910" w:rsidP="0084080C">
      <w:pPr>
        <w:pStyle w:val="Normalnumber"/>
        <w:numPr>
          <w:ilvl w:val="1"/>
          <w:numId w:val="4"/>
        </w:numPr>
        <w:tabs>
          <w:tab w:val="clear" w:pos="1134"/>
          <w:tab w:val="clear" w:pos="1247"/>
          <w:tab w:val="left" w:pos="2410"/>
        </w:tabs>
        <w:ind w:left="1276"/>
        <w:rPr>
          <w:lang w:val="fr-FR"/>
        </w:rPr>
      </w:pPr>
      <w:r>
        <w:rPr>
          <w:lang w:val="fr-FR"/>
        </w:rPr>
        <w:t>Les z</w:t>
      </w:r>
      <w:r w:rsidR="006C4C5E" w:rsidRPr="00C579D1">
        <w:rPr>
          <w:lang w:val="fr-FR"/>
        </w:rPr>
        <w:t>oono</w:t>
      </w:r>
      <w:r w:rsidR="007F7B2B" w:rsidRPr="00C579D1">
        <w:rPr>
          <w:lang w:val="fr-FR"/>
        </w:rPr>
        <w:t>ses et agents pathogènes présents dans la chaîne alimentaire</w:t>
      </w:r>
      <w:r w:rsidR="006C4C5E" w:rsidRPr="00C579D1">
        <w:rPr>
          <w:lang w:val="fr-FR"/>
        </w:rPr>
        <w:t>;</w:t>
      </w:r>
    </w:p>
    <w:p w:rsidR="006C4C5E" w:rsidRPr="00C579D1" w:rsidRDefault="00FA3910" w:rsidP="0084080C">
      <w:pPr>
        <w:pStyle w:val="Normalnumber"/>
        <w:numPr>
          <w:ilvl w:val="1"/>
          <w:numId w:val="4"/>
        </w:numPr>
        <w:tabs>
          <w:tab w:val="clear" w:pos="1134"/>
          <w:tab w:val="clear" w:pos="1247"/>
          <w:tab w:val="left" w:pos="2410"/>
        </w:tabs>
        <w:ind w:left="1276"/>
        <w:rPr>
          <w:lang w:val="fr-FR"/>
        </w:rPr>
      </w:pPr>
      <w:r>
        <w:rPr>
          <w:lang w:val="fr-FR"/>
        </w:rPr>
        <w:t>La p</w:t>
      </w:r>
      <w:r w:rsidR="007F7B2B" w:rsidRPr="00C579D1">
        <w:rPr>
          <w:lang w:val="fr-FR"/>
        </w:rPr>
        <w:t xml:space="preserve">erte </w:t>
      </w:r>
      <w:r w:rsidR="006D691C" w:rsidRPr="00C579D1">
        <w:rPr>
          <w:lang w:val="fr-FR"/>
        </w:rPr>
        <w:t xml:space="preserve">de services </w:t>
      </w:r>
      <w:proofErr w:type="spellStart"/>
      <w:r w:rsidR="006D691C" w:rsidRPr="00C579D1">
        <w:rPr>
          <w:lang w:val="fr-FR"/>
        </w:rPr>
        <w:t>écosystémiques</w:t>
      </w:r>
      <w:proofErr w:type="spellEnd"/>
      <w:r w:rsidR="006D691C" w:rsidRPr="00C579D1">
        <w:rPr>
          <w:lang w:val="fr-FR"/>
        </w:rPr>
        <w:t xml:space="preserve"> </w:t>
      </w:r>
      <w:r w:rsidR="007F7B2B" w:rsidRPr="00C579D1">
        <w:rPr>
          <w:lang w:val="fr-FR"/>
        </w:rPr>
        <w:t xml:space="preserve">et </w:t>
      </w:r>
      <w:r>
        <w:rPr>
          <w:lang w:val="fr-FR"/>
        </w:rPr>
        <w:t xml:space="preserve">les </w:t>
      </w:r>
      <w:r w:rsidR="007F7B2B" w:rsidRPr="00C579D1">
        <w:rPr>
          <w:lang w:val="fr-FR"/>
        </w:rPr>
        <w:t xml:space="preserve">dommages causés </w:t>
      </w:r>
      <w:r w:rsidR="006D691C" w:rsidRPr="00C579D1">
        <w:rPr>
          <w:lang w:val="fr-FR"/>
        </w:rPr>
        <w:t>à ces derniers</w:t>
      </w:r>
      <w:r w:rsidR="007F7B2B" w:rsidRPr="00C579D1">
        <w:rPr>
          <w:lang w:val="fr-FR"/>
        </w:rPr>
        <w:t xml:space="preserve"> </w:t>
      </w:r>
      <w:r>
        <w:rPr>
          <w:lang w:val="fr-FR"/>
        </w:rPr>
        <w:t xml:space="preserve">sous l’effet </w:t>
      </w:r>
      <w:r w:rsidR="007F7B2B" w:rsidRPr="00C579D1">
        <w:rPr>
          <w:lang w:val="fr-FR"/>
        </w:rPr>
        <w:t>des changements climatiques</w:t>
      </w:r>
      <w:r w:rsidR="006C4C5E" w:rsidRPr="00C579D1">
        <w:rPr>
          <w:lang w:val="fr-FR"/>
        </w:rPr>
        <w:t>;</w:t>
      </w:r>
    </w:p>
    <w:p w:rsidR="006C4C5E" w:rsidRPr="00C579D1" w:rsidRDefault="008F090A" w:rsidP="0084080C">
      <w:pPr>
        <w:pStyle w:val="Normalnumber"/>
        <w:numPr>
          <w:ilvl w:val="1"/>
          <w:numId w:val="4"/>
        </w:numPr>
        <w:tabs>
          <w:tab w:val="clear" w:pos="1134"/>
          <w:tab w:val="clear" w:pos="1247"/>
          <w:tab w:val="left" w:pos="2410"/>
        </w:tabs>
        <w:ind w:left="1276"/>
        <w:rPr>
          <w:lang w:val="fr-FR"/>
        </w:rPr>
      </w:pPr>
      <w:r>
        <w:rPr>
          <w:lang w:val="fr-FR"/>
        </w:rPr>
        <w:t>Le co</w:t>
      </w:r>
      <w:r w:rsidR="007F7B2B" w:rsidRPr="00C579D1">
        <w:rPr>
          <w:lang w:val="fr-FR"/>
        </w:rPr>
        <w:t>mmerce illicite d’espèces de faune et de flore sauvages</w:t>
      </w:r>
      <w:r w:rsidR="006C4C5E" w:rsidRPr="00C579D1">
        <w:rPr>
          <w:lang w:val="fr-FR"/>
        </w:rPr>
        <w:t>;</w:t>
      </w:r>
    </w:p>
    <w:p w:rsidR="006C4C5E" w:rsidRPr="00C579D1" w:rsidRDefault="00171D67" w:rsidP="0084080C">
      <w:pPr>
        <w:pStyle w:val="Normalnumber"/>
        <w:numPr>
          <w:ilvl w:val="1"/>
          <w:numId w:val="4"/>
        </w:numPr>
        <w:tabs>
          <w:tab w:val="clear" w:pos="1134"/>
          <w:tab w:val="clear" w:pos="1247"/>
          <w:tab w:val="left" w:pos="2410"/>
        </w:tabs>
        <w:ind w:left="1276"/>
        <w:rPr>
          <w:lang w:val="fr-FR"/>
        </w:rPr>
      </w:pPr>
      <w:r w:rsidRPr="00C579D1">
        <w:rPr>
          <w:lang w:val="fr-FR"/>
        </w:rPr>
        <w:t xml:space="preserve">Le rôle caché mais influent du secteur financier </w:t>
      </w:r>
      <w:r w:rsidR="008F090A">
        <w:rPr>
          <w:lang w:val="fr-FR"/>
        </w:rPr>
        <w:t xml:space="preserve">pour ce qui est d’assurer </w:t>
      </w:r>
      <w:r w:rsidRPr="00C579D1">
        <w:rPr>
          <w:lang w:val="fr-FR"/>
        </w:rPr>
        <w:t>la viabilité de l’environnement</w:t>
      </w:r>
      <w:r w:rsidR="006C4C5E" w:rsidRPr="00C579D1">
        <w:rPr>
          <w:lang w:val="fr-FR"/>
        </w:rPr>
        <w:t>.</w:t>
      </w:r>
    </w:p>
    <w:p w:rsidR="006C4C5E" w:rsidRPr="00C579D1" w:rsidRDefault="00171D67" w:rsidP="006A33EE">
      <w:pPr>
        <w:pStyle w:val="Normalnumber"/>
        <w:tabs>
          <w:tab w:val="clear" w:pos="967"/>
          <w:tab w:val="clear" w:pos="1247"/>
          <w:tab w:val="clear" w:pos="1871"/>
          <w:tab w:val="left" w:pos="1843"/>
        </w:tabs>
        <w:ind w:left="1260"/>
        <w:rPr>
          <w:lang w:val="fr-FR"/>
        </w:rPr>
      </w:pPr>
      <w:r w:rsidRPr="00C579D1">
        <w:rPr>
          <w:lang w:val="fr-FR"/>
        </w:rPr>
        <w:t>Un exercice de prévision</w:t>
      </w:r>
      <w:r w:rsidR="00675022" w:rsidRPr="00C579D1">
        <w:rPr>
          <w:lang w:val="fr-FR"/>
        </w:rPr>
        <w:t xml:space="preserve"> de l’échelle régionale à l’échelle mondiale, s’appuyant sur les évaluations régionales, est prévu pour </w:t>
      </w:r>
      <w:r w:rsidR="006C4C5E" w:rsidRPr="00C579D1">
        <w:rPr>
          <w:lang w:val="fr-FR"/>
        </w:rPr>
        <w:t>2016</w:t>
      </w:r>
      <w:r w:rsidR="003B1C72">
        <w:rPr>
          <w:lang w:val="fr-FR"/>
        </w:rPr>
        <w:t>-</w:t>
      </w:r>
      <w:r w:rsidR="00C86742" w:rsidRPr="00C579D1">
        <w:rPr>
          <w:lang w:val="fr-FR"/>
        </w:rPr>
        <w:t>20</w:t>
      </w:r>
      <w:r w:rsidR="006C4C5E" w:rsidRPr="00C579D1">
        <w:rPr>
          <w:lang w:val="fr-FR"/>
        </w:rPr>
        <w:t xml:space="preserve">17 </w:t>
      </w:r>
      <w:r w:rsidR="00675022" w:rsidRPr="00C579D1">
        <w:rPr>
          <w:lang w:val="fr-FR"/>
        </w:rPr>
        <w:t>afin de détermin</w:t>
      </w:r>
      <w:r w:rsidR="008F090A">
        <w:rPr>
          <w:lang w:val="fr-FR"/>
        </w:rPr>
        <w:t>er de manière systématique les</w:t>
      </w:r>
      <w:r w:rsidR="00675022" w:rsidRPr="00C579D1">
        <w:rPr>
          <w:lang w:val="fr-FR"/>
        </w:rPr>
        <w:t xml:space="preserve"> domaines </w:t>
      </w:r>
      <w:r w:rsidR="008F090A">
        <w:rPr>
          <w:lang w:val="fr-FR"/>
        </w:rPr>
        <w:t xml:space="preserve">dans lesquels il est nécessaire de </w:t>
      </w:r>
      <w:r w:rsidR="00675022" w:rsidRPr="00C579D1">
        <w:rPr>
          <w:lang w:val="fr-FR"/>
        </w:rPr>
        <w:t>renforce</w:t>
      </w:r>
      <w:r w:rsidR="008F090A">
        <w:rPr>
          <w:lang w:val="fr-FR"/>
        </w:rPr>
        <w:t>r</w:t>
      </w:r>
      <w:r w:rsidR="00675022" w:rsidRPr="00C579D1">
        <w:rPr>
          <w:lang w:val="fr-FR"/>
        </w:rPr>
        <w:t xml:space="preserve"> l’interface science-politique</w:t>
      </w:r>
      <w:r w:rsidR="006C4C5E" w:rsidRPr="00C579D1">
        <w:rPr>
          <w:lang w:val="fr-FR"/>
        </w:rPr>
        <w:t>.</w:t>
      </w:r>
    </w:p>
    <w:p w:rsidR="006C4C5E" w:rsidRPr="00C579D1" w:rsidRDefault="006C4C5E" w:rsidP="006C4C5E">
      <w:pPr>
        <w:pStyle w:val="CH2"/>
        <w:rPr>
          <w:lang w:val="fr-FR"/>
        </w:rPr>
      </w:pPr>
      <w:r w:rsidRPr="00C579D1">
        <w:rPr>
          <w:lang w:val="fr-FR"/>
        </w:rPr>
        <w:tab/>
        <w:t>D.</w:t>
      </w:r>
      <w:r w:rsidRPr="00C579D1">
        <w:rPr>
          <w:lang w:val="fr-FR"/>
        </w:rPr>
        <w:tab/>
      </w:r>
      <w:r w:rsidR="00675022" w:rsidRPr="00C579D1">
        <w:rPr>
          <w:lang w:val="fr-FR"/>
        </w:rPr>
        <w:t>Évaluations thématiques</w:t>
      </w:r>
    </w:p>
    <w:p w:rsidR="006C4C5E" w:rsidRPr="00C579D1" w:rsidRDefault="00651C5E" w:rsidP="00FB0736">
      <w:pPr>
        <w:pStyle w:val="CH3"/>
        <w:rPr>
          <w:lang w:val="fr-FR"/>
        </w:rPr>
      </w:pPr>
      <w:r w:rsidRPr="00C579D1">
        <w:rPr>
          <w:lang w:val="fr-FR"/>
        </w:rPr>
        <w:tab/>
      </w:r>
      <w:r w:rsidR="00FB0736" w:rsidRPr="00C579D1">
        <w:rPr>
          <w:lang w:val="fr-FR"/>
        </w:rPr>
        <w:t>1.</w:t>
      </w:r>
      <w:r w:rsidRPr="00C579D1">
        <w:rPr>
          <w:lang w:val="fr-FR"/>
        </w:rPr>
        <w:tab/>
      </w:r>
      <w:r w:rsidR="00675022" w:rsidRPr="00C579D1">
        <w:rPr>
          <w:lang w:val="fr-FR"/>
        </w:rPr>
        <w:t>C</w:t>
      </w:r>
      <w:r w:rsidR="006C4C5E" w:rsidRPr="00C579D1">
        <w:rPr>
          <w:lang w:val="fr-FR"/>
        </w:rPr>
        <w:t>hange</w:t>
      </w:r>
      <w:r w:rsidR="00675022" w:rsidRPr="00C579D1">
        <w:rPr>
          <w:lang w:val="fr-FR"/>
        </w:rPr>
        <w:t>ments climatiques</w:t>
      </w:r>
    </w:p>
    <w:p w:rsidR="006C4C5E" w:rsidRPr="00C579D1" w:rsidRDefault="00916B20" w:rsidP="006A33EE">
      <w:pPr>
        <w:pStyle w:val="Normalnumber"/>
        <w:tabs>
          <w:tab w:val="clear" w:pos="967"/>
          <w:tab w:val="clear" w:pos="1247"/>
          <w:tab w:val="clear" w:pos="1871"/>
          <w:tab w:val="left" w:pos="1843"/>
        </w:tabs>
        <w:ind w:left="1260"/>
        <w:rPr>
          <w:lang w:val="fr-FR"/>
        </w:rPr>
      </w:pPr>
      <w:r w:rsidRPr="00C579D1">
        <w:rPr>
          <w:lang w:val="fr-FR"/>
        </w:rPr>
        <w:t>Les résultats du cinquième </w:t>
      </w:r>
      <w:r w:rsidR="008F2CC9" w:rsidRPr="00C579D1">
        <w:rPr>
          <w:lang w:val="fr-FR"/>
        </w:rPr>
        <w:t>Rapport d’évaluation du Groupe d’</w:t>
      </w:r>
      <w:r w:rsidRPr="00C579D1">
        <w:rPr>
          <w:lang w:val="fr-FR"/>
        </w:rPr>
        <w:t>ex</w:t>
      </w:r>
      <w:r w:rsidR="008F2CC9" w:rsidRPr="00C579D1">
        <w:rPr>
          <w:lang w:val="fr-FR"/>
        </w:rPr>
        <w:t>perts intergouvernemental sur l’</w:t>
      </w:r>
      <w:r w:rsidRPr="00C579D1">
        <w:rPr>
          <w:lang w:val="fr-FR"/>
        </w:rPr>
        <w:t xml:space="preserve">évolution du climat </w:t>
      </w:r>
      <w:r w:rsidR="008F2CC9" w:rsidRPr="00C579D1">
        <w:rPr>
          <w:lang w:val="fr-FR"/>
        </w:rPr>
        <w:t xml:space="preserve">continuent d’être systématiquement utilisés dans tous les rapports pertinents du PNUE, notamment </w:t>
      </w:r>
      <w:r w:rsidR="009C111C" w:rsidRPr="00C579D1">
        <w:rPr>
          <w:lang w:val="fr-FR"/>
        </w:rPr>
        <w:t xml:space="preserve">le </w:t>
      </w:r>
      <w:r w:rsidR="009C111C" w:rsidRPr="008F090A">
        <w:rPr>
          <w:i/>
          <w:lang w:val="fr-FR"/>
        </w:rPr>
        <w:t>Rapport</w:t>
      </w:r>
      <w:r w:rsidR="00E05DF0" w:rsidRPr="008F090A">
        <w:rPr>
          <w:i/>
          <w:lang w:val="fr-FR"/>
        </w:rPr>
        <w:t xml:space="preserve"> </w:t>
      </w:r>
      <w:r w:rsidR="009C111C" w:rsidRPr="008F090A">
        <w:rPr>
          <w:i/>
          <w:lang w:val="fr-FR"/>
        </w:rPr>
        <w:t>sur l</w:t>
      </w:r>
      <w:r w:rsidR="00A12BA0" w:rsidRPr="008F090A">
        <w:rPr>
          <w:i/>
          <w:lang w:val="fr-FR"/>
        </w:rPr>
        <w:t xml:space="preserve">’écart en matière de </w:t>
      </w:r>
      <w:r w:rsidR="009C111C" w:rsidRPr="008F090A">
        <w:rPr>
          <w:i/>
          <w:lang w:val="fr-FR"/>
        </w:rPr>
        <w:t xml:space="preserve">financement </w:t>
      </w:r>
      <w:r w:rsidR="00A12BA0" w:rsidRPr="008F090A">
        <w:rPr>
          <w:i/>
          <w:lang w:val="fr-FR"/>
        </w:rPr>
        <w:t xml:space="preserve">de </w:t>
      </w:r>
      <w:r w:rsidR="009C111C" w:rsidRPr="008F090A">
        <w:rPr>
          <w:i/>
          <w:lang w:val="fr-FR"/>
        </w:rPr>
        <w:t xml:space="preserve">l’adaptation </w:t>
      </w:r>
      <w:r w:rsidR="009C111C" w:rsidRPr="008F090A">
        <w:rPr>
          <w:lang w:val="fr-FR"/>
        </w:rPr>
        <w:t>et le</w:t>
      </w:r>
      <w:r w:rsidR="00E05DF0" w:rsidRPr="008F090A">
        <w:rPr>
          <w:i/>
          <w:lang w:val="fr-FR"/>
        </w:rPr>
        <w:t xml:space="preserve"> </w:t>
      </w:r>
      <w:r w:rsidR="009C111C" w:rsidRPr="008F090A">
        <w:rPr>
          <w:i/>
          <w:lang w:val="fr-FR"/>
        </w:rPr>
        <w:t xml:space="preserve">Rapport sur l’écart </w:t>
      </w:r>
      <w:r w:rsidR="00A12BA0" w:rsidRPr="008F090A">
        <w:rPr>
          <w:i/>
          <w:lang w:val="fr-FR"/>
        </w:rPr>
        <w:t>en matière d’émissions</w:t>
      </w:r>
      <w:r w:rsidR="008F090A">
        <w:rPr>
          <w:lang w:val="fr-FR"/>
        </w:rPr>
        <w:t>, qui est publié chaque année</w:t>
      </w:r>
      <w:r w:rsidR="006C4C5E" w:rsidRPr="00C579D1">
        <w:rPr>
          <w:lang w:val="fr-FR"/>
        </w:rPr>
        <w:t>.</w:t>
      </w:r>
    </w:p>
    <w:p w:rsidR="006C4C5E" w:rsidRPr="00C579D1" w:rsidRDefault="009C111C" w:rsidP="006A33EE">
      <w:pPr>
        <w:pStyle w:val="Normalnumber"/>
        <w:tabs>
          <w:tab w:val="clear" w:pos="967"/>
          <w:tab w:val="clear" w:pos="1247"/>
          <w:tab w:val="clear" w:pos="1871"/>
          <w:tab w:val="left" w:pos="1843"/>
        </w:tabs>
        <w:ind w:left="1260"/>
        <w:rPr>
          <w:lang w:val="fr-FR"/>
        </w:rPr>
      </w:pPr>
      <w:r w:rsidRPr="00C579D1">
        <w:rPr>
          <w:lang w:val="fr-FR"/>
        </w:rPr>
        <w:t xml:space="preserve">L’édition </w:t>
      </w:r>
      <w:r w:rsidR="00E05DF0" w:rsidRPr="00C579D1">
        <w:rPr>
          <w:lang w:val="fr-FR"/>
        </w:rPr>
        <w:t xml:space="preserve">2015 </w:t>
      </w:r>
      <w:r w:rsidRPr="00C579D1">
        <w:rPr>
          <w:lang w:val="fr-FR"/>
        </w:rPr>
        <w:t>du</w:t>
      </w:r>
      <w:r w:rsidR="00E05DF0" w:rsidRPr="00C579D1">
        <w:rPr>
          <w:lang w:val="fr-FR"/>
        </w:rPr>
        <w:t xml:space="preserve"> </w:t>
      </w:r>
      <w:r w:rsidRPr="00C579D1">
        <w:rPr>
          <w:lang w:val="fr-FR"/>
        </w:rPr>
        <w:t>Rapport comprend une évaluation des contributions</w:t>
      </w:r>
      <w:r w:rsidR="006C4C5E" w:rsidRPr="00C579D1">
        <w:rPr>
          <w:lang w:val="fr-FR"/>
        </w:rPr>
        <w:t xml:space="preserve"> </w:t>
      </w:r>
      <w:r w:rsidRPr="00C579D1">
        <w:rPr>
          <w:lang w:val="fr-FR"/>
        </w:rPr>
        <w:t>prévues déterminées au niveau national</w:t>
      </w:r>
      <w:r w:rsidR="00031B9D" w:rsidRPr="00C579D1">
        <w:rPr>
          <w:lang w:val="fr-FR"/>
        </w:rPr>
        <w:t>.</w:t>
      </w:r>
      <w:r w:rsidRPr="00C579D1">
        <w:rPr>
          <w:lang w:val="fr-FR"/>
        </w:rPr>
        <w:t xml:space="preserve"> Le PNUE, </w:t>
      </w:r>
      <w:r w:rsidR="00455401" w:rsidRPr="00C579D1">
        <w:rPr>
          <w:lang w:val="fr-FR"/>
        </w:rPr>
        <w:t>avec le financement du Fonds pour l’environnement mondial (FEM)</w:t>
      </w:r>
      <w:r w:rsidR="006C4C5E" w:rsidRPr="00C579D1">
        <w:rPr>
          <w:lang w:val="fr-FR"/>
        </w:rPr>
        <w:t>,</w:t>
      </w:r>
      <w:r w:rsidR="00455401" w:rsidRPr="00C579D1">
        <w:rPr>
          <w:lang w:val="fr-FR"/>
        </w:rPr>
        <w:t xml:space="preserve"> a aidé </w:t>
      </w:r>
      <w:r w:rsidR="006C4C5E" w:rsidRPr="00C579D1">
        <w:rPr>
          <w:lang w:val="fr-FR"/>
        </w:rPr>
        <w:t>35</w:t>
      </w:r>
      <w:r w:rsidR="00455401" w:rsidRPr="00C579D1">
        <w:rPr>
          <w:lang w:val="fr-FR"/>
        </w:rPr>
        <w:t> pays</w:t>
      </w:r>
      <w:r w:rsidR="006C4C5E" w:rsidRPr="00C579D1">
        <w:rPr>
          <w:lang w:val="fr-FR"/>
        </w:rPr>
        <w:t xml:space="preserve"> </w:t>
      </w:r>
      <w:r w:rsidR="00455401" w:rsidRPr="00C579D1">
        <w:rPr>
          <w:lang w:val="fr-FR"/>
        </w:rPr>
        <w:t>à</w:t>
      </w:r>
      <w:r w:rsidR="006C4C5E" w:rsidRPr="00C579D1">
        <w:rPr>
          <w:lang w:val="fr-FR"/>
        </w:rPr>
        <w:t xml:space="preserve"> </w:t>
      </w:r>
      <w:r w:rsidR="00A12BA0" w:rsidRPr="00C579D1">
        <w:rPr>
          <w:lang w:val="fr-FR"/>
        </w:rPr>
        <w:t xml:space="preserve">élaborer </w:t>
      </w:r>
      <w:r w:rsidR="00455401" w:rsidRPr="00C579D1">
        <w:rPr>
          <w:lang w:val="fr-FR"/>
        </w:rPr>
        <w:t>leurs contributions prévues</w:t>
      </w:r>
      <w:r w:rsidR="006C4C5E" w:rsidRPr="00C579D1">
        <w:rPr>
          <w:lang w:val="fr-FR"/>
        </w:rPr>
        <w:t>.</w:t>
      </w:r>
      <w:r w:rsidR="00CB732D" w:rsidRPr="00C579D1">
        <w:rPr>
          <w:lang w:val="fr-FR"/>
        </w:rPr>
        <w:t xml:space="preserve"> </w:t>
      </w:r>
      <w:r w:rsidR="00D844BD" w:rsidRPr="00C579D1">
        <w:rPr>
          <w:lang w:val="fr-FR"/>
        </w:rPr>
        <w:t xml:space="preserve">Le rapport contient un examen des </w:t>
      </w:r>
      <w:r w:rsidR="00E05DF0" w:rsidRPr="00C579D1">
        <w:rPr>
          <w:lang w:val="fr-FR"/>
        </w:rPr>
        <w:t>contribution</w:t>
      </w:r>
      <w:r w:rsidR="00D844BD" w:rsidRPr="00C579D1">
        <w:rPr>
          <w:lang w:val="fr-FR"/>
        </w:rPr>
        <w:t>s couvrant l</w:t>
      </w:r>
      <w:r w:rsidR="00291BDF">
        <w:rPr>
          <w:lang w:val="fr-FR"/>
        </w:rPr>
        <w:t xml:space="preserve">a période allant </w:t>
      </w:r>
      <w:r w:rsidR="00D844BD" w:rsidRPr="00C579D1">
        <w:rPr>
          <w:lang w:val="fr-FR"/>
        </w:rPr>
        <w:t>jusqu’en 2030, et des mesures plus poussées devraient être requises après les cinq premières années pour mettre</w:t>
      </w:r>
      <w:r w:rsidR="00DC369E" w:rsidRPr="00C579D1">
        <w:rPr>
          <w:lang w:val="fr-FR"/>
        </w:rPr>
        <w:t xml:space="preserve"> </w:t>
      </w:r>
      <w:r w:rsidR="00336585" w:rsidRPr="00C579D1">
        <w:rPr>
          <w:lang w:val="fr-FR"/>
        </w:rPr>
        <w:t xml:space="preserve">pleinement </w:t>
      </w:r>
      <w:r w:rsidR="00D844BD" w:rsidRPr="00C579D1">
        <w:rPr>
          <w:lang w:val="fr-FR"/>
        </w:rPr>
        <w:t>l’économie mondiale sur la voie</w:t>
      </w:r>
      <w:r w:rsidR="00E05DF0" w:rsidRPr="00C579D1">
        <w:rPr>
          <w:lang w:val="fr-FR"/>
        </w:rPr>
        <w:t xml:space="preserve"> </w:t>
      </w:r>
      <w:r w:rsidR="00DC369E" w:rsidRPr="00C579D1">
        <w:rPr>
          <w:lang w:val="fr-FR"/>
        </w:rPr>
        <w:t>d’un développement optim</w:t>
      </w:r>
      <w:r w:rsidR="00336585" w:rsidRPr="00C579D1">
        <w:rPr>
          <w:lang w:val="fr-FR"/>
        </w:rPr>
        <w:t>al en termes de coûts d’ici</w:t>
      </w:r>
      <w:r w:rsidR="00DC369E" w:rsidRPr="00C579D1">
        <w:rPr>
          <w:lang w:val="fr-FR"/>
        </w:rPr>
        <w:t xml:space="preserve"> 2030. Après</w:t>
      </w:r>
      <w:r w:rsidR="006C4C5E" w:rsidRPr="00C579D1">
        <w:rPr>
          <w:lang w:val="fr-FR"/>
        </w:rPr>
        <w:t xml:space="preserve"> 2030,</w:t>
      </w:r>
      <w:r w:rsidR="00DC369E" w:rsidRPr="00C579D1">
        <w:rPr>
          <w:lang w:val="fr-FR"/>
        </w:rPr>
        <w:t xml:space="preserve"> de nouveaux cycles de réductions nationales seront nécessaires afin de rester sur cette voie et de maintenir le réchauffement planétaire en-deçà de </w:t>
      </w:r>
      <w:r w:rsidR="006C4C5E" w:rsidRPr="00C579D1">
        <w:rPr>
          <w:lang w:val="fr-FR"/>
        </w:rPr>
        <w:t xml:space="preserve">2˚C </w:t>
      </w:r>
      <w:r w:rsidR="00DC369E" w:rsidRPr="00C579D1">
        <w:rPr>
          <w:lang w:val="fr-FR"/>
        </w:rPr>
        <w:t xml:space="preserve">jusqu’à ce que les émissions mondiales soient finalement réduites à zéro entre </w:t>
      </w:r>
      <w:r w:rsidR="006C4C5E" w:rsidRPr="00C579D1">
        <w:rPr>
          <w:lang w:val="fr-FR"/>
        </w:rPr>
        <w:t xml:space="preserve">2050 </w:t>
      </w:r>
      <w:r w:rsidR="00DC369E" w:rsidRPr="00C579D1">
        <w:rPr>
          <w:lang w:val="fr-FR"/>
        </w:rPr>
        <w:t>et</w:t>
      </w:r>
      <w:r w:rsidR="00E05DF0" w:rsidRPr="00C579D1">
        <w:rPr>
          <w:lang w:val="fr-FR"/>
        </w:rPr>
        <w:t xml:space="preserve"> </w:t>
      </w:r>
      <w:r w:rsidR="006C4C5E" w:rsidRPr="00C579D1">
        <w:rPr>
          <w:lang w:val="fr-FR"/>
        </w:rPr>
        <w:t xml:space="preserve">2070. </w:t>
      </w:r>
    </w:p>
    <w:p w:rsidR="006C4C5E" w:rsidRPr="00C579D1" w:rsidRDefault="00E97733" w:rsidP="003B1C72">
      <w:pPr>
        <w:pStyle w:val="Normalnumber"/>
        <w:keepNext/>
        <w:keepLines/>
        <w:tabs>
          <w:tab w:val="clear" w:pos="967"/>
          <w:tab w:val="clear" w:pos="1247"/>
          <w:tab w:val="clear" w:pos="1871"/>
          <w:tab w:val="left" w:pos="1843"/>
        </w:tabs>
        <w:ind w:left="1259"/>
        <w:rPr>
          <w:lang w:val="fr-FR"/>
        </w:rPr>
      </w:pPr>
      <w:r w:rsidRPr="00C579D1">
        <w:rPr>
          <w:lang w:val="fr-FR"/>
        </w:rPr>
        <w:lastRenderedPageBreak/>
        <w:t>La prochaine édition du</w:t>
      </w:r>
      <w:r w:rsidR="00E05DF0" w:rsidRPr="00C579D1">
        <w:rPr>
          <w:lang w:val="fr-FR"/>
        </w:rPr>
        <w:t xml:space="preserve"> </w:t>
      </w:r>
      <w:r w:rsidRPr="00291BDF">
        <w:rPr>
          <w:i/>
          <w:lang w:val="fr-FR"/>
        </w:rPr>
        <w:t>Rapport sur l</w:t>
      </w:r>
      <w:r w:rsidR="00A12BA0" w:rsidRPr="00291BDF">
        <w:rPr>
          <w:i/>
          <w:lang w:val="fr-FR"/>
        </w:rPr>
        <w:t xml:space="preserve">’écart en matière de </w:t>
      </w:r>
      <w:r w:rsidRPr="00291BDF">
        <w:rPr>
          <w:i/>
          <w:lang w:val="fr-FR"/>
        </w:rPr>
        <w:t xml:space="preserve">financement </w:t>
      </w:r>
      <w:r w:rsidR="00A12BA0" w:rsidRPr="00291BDF">
        <w:rPr>
          <w:i/>
          <w:lang w:val="fr-FR"/>
        </w:rPr>
        <w:t xml:space="preserve">de </w:t>
      </w:r>
      <w:r w:rsidRPr="00291BDF">
        <w:rPr>
          <w:i/>
          <w:lang w:val="fr-FR"/>
        </w:rPr>
        <w:t>l’adaptation</w:t>
      </w:r>
      <w:r w:rsidRPr="00C579D1">
        <w:rPr>
          <w:lang w:val="fr-FR"/>
        </w:rPr>
        <w:t xml:space="preserve">, qui </w:t>
      </w:r>
      <w:r w:rsidR="00291BDF">
        <w:rPr>
          <w:lang w:val="fr-FR"/>
        </w:rPr>
        <w:t>paraîtra</w:t>
      </w:r>
      <w:r w:rsidRPr="00C579D1">
        <w:rPr>
          <w:lang w:val="fr-FR"/>
        </w:rPr>
        <w:t xml:space="preserve"> en mars 2016 et s’appuie sur l’édition de 2014, </w:t>
      </w:r>
      <w:r w:rsidR="00291BDF">
        <w:rPr>
          <w:lang w:val="fr-FR"/>
        </w:rPr>
        <w:t>relève</w:t>
      </w:r>
      <w:r w:rsidR="00A12BA0" w:rsidRPr="00C579D1">
        <w:rPr>
          <w:lang w:val="fr-FR"/>
        </w:rPr>
        <w:t xml:space="preserve"> que le volume total du </w:t>
      </w:r>
      <w:r w:rsidRPr="00C579D1">
        <w:rPr>
          <w:lang w:val="fr-FR"/>
        </w:rPr>
        <w:t xml:space="preserve">financement bilatéral et multilatéral international total </w:t>
      </w:r>
      <w:r w:rsidR="00A12BA0" w:rsidRPr="00C579D1">
        <w:rPr>
          <w:lang w:val="fr-FR"/>
        </w:rPr>
        <w:t xml:space="preserve">consacré à </w:t>
      </w:r>
      <w:r w:rsidRPr="00C579D1">
        <w:rPr>
          <w:lang w:val="fr-FR"/>
        </w:rPr>
        <w:t>l’adaptation aux changements climatiques d</w:t>
      </w:r>
      <w:r w:rsidR="00A12BA0" w:rsidRPr="00C579D1">
        <w:rPr>
          <w:lang w:val="fr-FR"/>
        </w:rPr>
        <w:t xml:space="preserve">ans les pays en développement avait </w:t>
      </w:r>
      <w:r w:rsidRPr="00C579D1">
        <w:rPr>
          <w:lang w:val="fr-FR"/>
        </w:rPr>
        <w:t xml:space="preserve">atteint </w:t>
      </w:r>
      <w:r w:rsidR="006C4C5E" w:rsidRPr="00C579D1">
        <w:rPr>
          <w:lang w:val="fr-FR"/>
        </w:rPr>
        <w:t>1</w:t>
      </w:r>
      <w:r w:rsidRPr="00C579D1">
        <w:rPr>
          <w:lang w:val="fr-FR"/>
        </w:rPr>
        <w:t>8,</w:t>
      </w:r>
      <w:r w:rsidR="006C4C5E" w:rsidRPr="00C579D1">
        <w:rPr>
          <w:lang w:val="fr-FR"/>
        </w:rPr>
        <w:t>4</w:t>
      </w:r>
      <w:r w:rsidRPr="00C579D1">
        <w:rPr>
          <w:lang w:val="fr-FR"/>
        </w:rPr>
        <w:t> milliards de dollars</w:t>
      </w:r>
      <w:r w:rsidR="00BF2B8F" w:rsidRPr="00C579D1">
        <w:rPr>
          <w:lang w:val="fr-FR"/>
        </w:rPr>
        <w:t xml:space="preserve"> en 2014</w:t>
      </w:r>
      <w:r w:rsidR="00031B9D" w:rsidRPr="00C579D1">
        <w:rPr>
          <w:lang w:val="fr-FR"/>
        </w:rPr>
        <w:t>,</w:t>
      </w:r>
      <w:r w:rsidRPr="00C579D1">
        <w:rPr>
          <w:lang w:val="fr-FR"/>
        </w:rPr>
        <w:t xml:space="preserve"> résultant d’augmentations annuelles de 8 à 9 % au cours des cinq années précédentes</w:t>
      </w:r>
      <w:r w:rsidR="006C4C5E" w:rsidRPr="00C579D1">
        <w:rPr>
          <w:lang w:val="fr-FR"/>
        </w:rPr>
        <w:t xml:space="preserve">. </w:t>
      </w:r>
    </w:p>
    <w:p w:rsidR="0047511C" w:rsidRPr="00C579D1" w:rsidRDefault="00644117" w:rsidP="006A33EE">
      <w:pPr>
        <w:pStyle w:val="Normalnumber"/>
        <w:tabs>
          <w:tab w:val="clear" w:pos="967"/>
          <w:tab w:val="clear" w:pos="1247"/>
          <w:tab w:val="clear" w:pos="1871"/>
          <w:tab w:val="left" w:pos="1843"/>
        </w:tabs>
        <w:ind w:left="1260"/>
        <w:rPr>
          <w:lang w:val="fr-FR"/>
        </w:rPr>
      </w:pPr>
      <w:r w:rsidRPr="00C579D1">
        <w:rPr>
          <w:lang w:val="fr-FR"/>
        </w:rPr>
        <w:t>E</w:t>
      </w:r>
      <w:r w:rsidR="003D3D30" w:rsidRPr="00C579D1">
        <w:rPr>
          <w:lang w:val="fr-FR"/>
        </w:rPr>
        <w:t xml:space="preserve">n 2015 </w:t>
      </w:r>
      <w:r w:rsidRPr="00C579D1">
        <w:rPr>
          <w:lang w:val="fr-FR"/>
        </w:rPr>
        <w:t>et</w:t>
      </w:r>
      <w:r w:rsidR="003D3D30" w:rsidRPr="00C579D1">
        <w:rPr>
          <w:lang w:val="fr-FR"/>
        </w:rPr>
        <w:t xml:space="preserve"> 2016, </w:t>
      </w:r>
      <w:r w:rsidRPr="00C579D1">
        <w:rPr>
          <w:lang w:val="fr-FR"/>
        </w:rPr>
        <w:t xml:space="preserve">dans le cadre de travaux conjoints avec le Programme des Nations Unies pour le développement (PNUD), le PNUE a aidé </w:t>
      </w:r>
      <w:r w:rsidR="00BF2B8F" w:rsidRPr="00C579D1">
        <w:rPr>
          <w:lang w:val="fr-FR"/>
        </w:rPr>
        <w:t>un certain nombre de</w:t>
      </w:r>
      <w:r w:rsidRPr="00C579D1">
        <w:rPr>
          <w:lang w:val="fr-FR"/>
        </w:rPr>
        <w:t xml:space="preserve"> pays à </w:t>
      </w:r>
      <w:r w:rsidR="00A12BA0" w:rsidRPr="00C579D1">
        <w:rPr>
          <w:lang w:val="fr-FR"/>
        </w:rPr>
        <w:t xml:space="preserve">élaborer </w:t>
      </w:r>
      <w:r w:rsidRPr="00C579D1">
        <w:rPr>
          <w:lang w:val="fr-FR"/>
        </w:rPr>
        <w:t>leurs contributions prévues déterminées au niveau national</w:t>
      </w:r>
      <w:r w:rsidR="003D3D30" w:rsidRPr="00C579D1">
        <w:rPr>
          <w:lang w:val="fr-FR"/>
        </w:rPr>
        <w:t xml:space="preserve"> </w:t>
      </w:r>
      <w:r w:rsidRPr="00C579D1">
        <w:rPr>
          <w:lang w:val="fr-FR"/>
        </w:rPr>
        <w:t>au titre de l’Accord de</w:t>
      </w:r>
      <w:r w:rsidR="003D3D30" w:rsidRPr="00C579D1">
        <w:rPr>
          <w:lang w:val="fr-FR"/>
        </w:rPr>
        <w:t xml:space="preserve"> Paris. </w:t>
      </w:r>
      <w:r w:rsidR="00301418" w:rsidRPr="00C579D1">
        <w:rPr>
          <w:lang w:val="fr-FR"/>
        </w:rPr>
        <w:t>Ces travaux s’accompagneront d’un renforcement des capacités dans le cadre du programme</w:t>
      </w:r>
      <w:r w:rsidR="008254BA" w:rsidRPr="00C579D1">
        <w:rPr>
          <w:lang w:val="fr-FR"/>
        </w:rPr>
        <w:t xml:space="preserve"> et des activités concernant les incidences des changements climatiques au niveau des pays en rapport avec les objectifs de développement durable</w:t>
      </w:r>
      <w:r w:rsidR="003D3D30" w:rsidRPr="00C579D1">
        <w:rPr>
          <w:lang w:val="fr-FR"/>
        </w:rPr>
        <w:t>.</w:t>
      </w:r>
    </w:p>
    <w:p w:rsidR="003D3D30" w:rsidRPr="00C579D1" w:rsidRDefault="0084080C" w:rsidP="0084080C">
      <w:pPr>
        <w:pStyle w:val="CH3"/>
        <w:rPr>
          <w:lang w:val="fr-FR"/>
        </w:rPr>
      </w:pPr>
      <w:r w:rsidRPr="00C579D1">
        <w:rPr>
          <w:lang w:val="fr-FR"/>
        </w:rPr>
        <w:tab/>
      </w:r>
      <w:r w:rsidR="0047511C" w:rsidRPr="00C579D1">
        <w:rPr>
          <w:lang w:val="fr-FR"/>
        </w:rPr>
        <w:t>2.</w:t>
      </w:r>
      <w:r w:rsidR="0047511C" w:rsidRPr="00C579D1">
        <w:rPr>
          <w:lang w:val="fr-FR"/>
        </w:rPr>
        <w:tab/>
        <w:t>Qualité de l’air, y compris les tempêtes de sable et de poussière</w:t>
      </w:r>
    </w:p>
    <w:p w:rsidR="006C4C5E" w:rsidRPr="00C579D1" w:rsidRDefault="00807023" w:rsidP="006A33EE">
      <w:pPr>
        <w:pStyle w:val="Normalnumber"/>
        <w:tabs>
          <w:tab w:val="clear" w:pos="967"/>
          <w:tab w:val="clear" w:pos="1247"/>
          <w:tab w:val="clear" w:pos="1871"/>
          <w:tab w:val="left" w:pos="1843"/>
        </w:tabs>
        <w:ind w:left="1260"/>
        <w:rPr>
          <w:lang w:val="fr-FR"/>
        </w:rPr>
      </w:pPr>
      <w:r w:rsidRPr="00C579D1">
        <w:rPr>
          <w:lang w:val="fr-FR"/>
        </w:rPr>
        <w:t>Les évaluations régionales de la qualité de l’air sont en train de devenir une priorité thématique majeure dans plusieurs régions</w:t>
      </w:r>
      <w:r w:rsidR="006C4C5E" w:rsidRPr="00C579D1">
        <w:rPr>
          <w:lang w:val="fr-FR"/>
        </w:rPr>
        <w:t>.</w:t>
      </w:r>
      <w:r w:rsidRPr="00C579D1">
        <w:rPr>
          <w:lang w:val="fr-FR"/>
        </w:rPr>
        <w:t xml:space="preserve"> Des travaux d’évaluation liés à</w:t>
      </w:r>
      <w:r w:rsidR="006C4C5E" w:rsidRPr="00C579D1">
        <w:rPr>
          <w:lang w:val="fr-FR"/>
        </w:rPr>
        <w:t xml:space="preserve"> </w:t>
      </w:r>
      <w:r w:rsidR="00A12BA0" w:rsidRPr="00C579D1">
        <w:rPr>
          <w:lang w:val="fr-FR"/>
        </w:rPr>
        <w:t>la Plate</w:t>
      </w:r>
      <w:r w:rsidRPr="00C579D1">
        <w:rPr>
          <w:lang w:val="fr-FR"/>
        </w:rPr>
        <w:t>forme mondiale sur la qualité de l’air et la santé sont en cours</w:t>
      </w:r>
      <w:r w:rsidR="00651C5E" w:rsidRPr="00C579D1">
        <w:rPr>
          <w:lang w:val="fr-FR"/>
        </w:rPr>
        <w:t xml:space="preserve">, </w:t>
      </w:r>
      <w:r w:rsidRPr="00C579D1">
        <w:rPr>
          <w:lang w:val="fr-FR"/>
        </w:rPr>
        <w:t>le PNUE collaborant avec des o</w:t>
      </w:r>
      <w:r w:rsidR="003B1C72">
        <w:rPr>
          <w:lang w:val="fr-FR"/>
        </w:rPr>
        <w:t>rganismes des Nations Unies, la </w:t>
      </w:r>
      <w:r w:rsidRPr="00C579D1">
        <w:rPr>
          <w:lang w:val="fr-FR"/>
        </w:rPr>
        <w:t xml:space="preserve">Banque mondiale et des États membres </w:t>
      </w:r>
      <w:r w:rsidR="00244DC4" w:rsidRPr="00C579D1">
        <w:rPr>
          <w:lang w:val="fr-FR"/>
        </w:rPr>
        <w:t xml:space="preserve">pour </w:t>
      </w:r>
      <w:r w:rsidRPr="00C579D1">
        <w:rPr>
          <w:lang w:val="fr-FR"/>
        </w:rPr>
        <w:t>évaluer les incidences de la pollution de l’air</w:t>
      </w:r>
      <w:r w:rsidR="006C4C5E" w:rsidRPr="00C579D1">
        <w:rPr>
          <w:lang w:val="fr-FR"/>
        </w:rPr>
        <w:t xml:space="preserve"> </w:t>
      </w:r>
      <w:r w:rsidR="00244DC4" w:rsidRPr="00C579D1">
        <w:rPr>
          <w:lang w:val="fr-FR"/>
        </w:rPr>
        <w:t>ambiant extérieur</w:t>
      </w:r>
      <w:r w:rsidR="006C4C5E" w:rsidRPr="00C579D1">
        <w:rPr>
          <w:lang w:val="fr-FR"/>
        </w:rPr>
        <w:t>.</w:t>
      </w:r>
      <w:r w:rsidR="00244DC4" w:rsidRPr="00C579D1">
        <w:rPr>
          <w:lang w:val="fr-FR"/>
        </w:rPr>
        <w:t xml:space="preserve"> Afin </w:t>
      </w:r>
      <w:r w:rsidR="00D06B18" w:rsidRPr="00C579D1">
        <w:rPr>
          <w:lang w:val="fr-FR"/>
        </w:rPr>
        <w:t xml:space="preserve">d’appuyer </w:t>
      </w:r>
      <w:r w:rsidR="00291BDF">
        <w:rPr>
          <w:lang w:val="fr-FR"/>
        </w:rPr>
        <w:t>le</w:t>
      </w:r>
      <w:r w:rsidR="00D06B18" w:rsidRPr="00C579D1">
        <w:rPr>
          <w:lang w:val="fr-FR"/>
        </w:rPr>
        <w:t xml:space="preserve"> renforcement de</w:t>
      </w:r>
      <w:r w:rsidR="00244DC4" w:rsidRPr="00C579D1">
        <w:rPr>
          <w:lang w:val="fr-FR"/>
        </w:rPr>
        <w:t xml:space="preserve"> la surveillance des polluants atmosphériques</w:t>
      </w:r>
      <w:r w:rsidR="00D06B18" w:rsidRPr="00C579D1">
        <w:rPr>
          <w:lang w:val="fr-FR"/>
        </w:rPr>
        <w:t xml:space="preserve"> et de l’analyse des données, le PNUE a créé </w:t>
      </w:r>
      <w:r w:rsidR="00007D1D" w:rsidRPr="00C579D1">
        <w:rPr>
          <w:lang w:val="fr-FR"/>
        </w:rPr>
        <w:t>un nouvel instrument</w:t>
      </w:r>
      <w:r w:rsidR="00D06B18" w:rsidRPr="00C579D1">
        <w:rPr>
          <w:lang w:val="fr-FR"/>
        </w:rPr>
        <w:t xml:space="preserve"> de surveillance de la qualité de l’air pour un coût abordable d’environ 1 </w:t>
      </w:r>
      <w:r w:rsidR="006C6D13" w:rsidRPr="00C579D1">
        <w:rPr>
          <w:lang w:val="fr-FR"/>
        </w:rPr>
        <w:t>500</w:t>
      </w:r>
      <w:r w:rsidR="00D06B18" w:rsidRPr="00C579D1">
        <w:rPr>
          <w:lang w:val="fr-FR"/>
        </w:rPr>
        <w:t> dollars</w:t>
      </w:r>
      <w:r w:rsidR="006C4C5E" w:rsidRPr="00C579D1">
        <w:rPr>
          <w:lang w:val="fr-FR"/>
        </w:rPr>
        <w:t xml:space="preserve">, </w:t>
      </w:r>
      <w:r w:rsidR="00D06B18" w:rsidRPr="00C579D1">
        <w:rPr>
          <w:lang w:val="fr-FR"/>
        </w:rPr>
        <w:t xml:space="preserve">qui peut fournir des données pour des évaluations concernant la </w:t>
      </w:r>
      <w:r w:rsidR="0047511C" w:rsidRPr="00C579D1">
        <w:rPr>
          <w:lang w:val="fr-FR"/>
        </w:rPr>
        <w:t>pollution atmosphérique urbaine</w:t>
      </w:r>
      <w:r w:rsidR="006C4C5E" w:rsidRPr="00C579D1">
        <w:rPr>
          <w:lang w:val="fr-FR"/>
        </w:rPr>
        <w:t>.</w:t>
      </w:r>
    </w:p>
    <w:p w:rsidR="006C4C5E" w:rsidRPr="00C579D1" w:rsidRDefault="00EF795C" w:rsidP="006A33EE">
      <w:pPr>
        <w:pStyle w:val="Normalnumber"/>
        <w:tabs>
          <w:tab w:val="clear" w:pos="967"/>
          <w:tab w:val="clear" w:pos="1247"/>
          <w:tab w:val="clear" w:pos="1871"/>
          <w:tab w:val="left" w:pos="1843"/>
        </w:tabs>
        <w:ind w:left="1260"/>
        <w:rPr>
          <w:lang w:val="fr-FR"/>
        </w:rPr>
      </w:pPr>
      <w:r w:rsidRPr="00C579D1">
        <w:rPr>
          <w:lang w:val="fr-FR"/>
        </w:rPr>
        <w:t>Dans le cadre d’un projet mené par</w:t>
      </w:r>
      <w:r w:rsidR="006C4C5E" w:rsidRPr="00C579D1">
        <w:rPr>
          <w:lang w:val="fr-FR"/>
        </w:rPr>
        <w:t xml:space="preserve"> </w:t>
      </w:r>
      <w:r w:rsidRPr="00C579D1">
        <w:rPr>
          <w:lang w:val="fr-FR"/>
        </w:rPr>
        <w:t>la Coalition pour le climat et la qualité de l’air, le PNUE participe actuellement à la production d’évaluations concernant les</w:t>
      </w:r>
      <w:r w:rsidR="006C4C5E" w:rsidRPr="00C579D1">
        <w:rPr>
          <w:lang w:val="fr-FR"/>
        </w:rPr>
        <w:t xml:space="preserve"> </w:t>
      </w:r>
      <w:r w:rsidRPr="00C579D1">
        <w:rPr>
          <w:lang w:val="fr-FR"/>
        </w:rPr>
        <w:t xml:space="preserve">polluants atmosphériques à courte durée de vie </w:t>
      </w:r>
      <w:r w:rsidR="00DA1A98" w:rsidRPr="00C579D1">
        <w:rPr>
          <w:lang w:val="fr-FR"/>
        </w:rPr>
        <w:t>pour les régions d’Amérique latine et des Caraïbes</w:t>
      </w:r>
      <w:r w:rsidR="00BF2B8F" w:rsidRPr="00C579D1">
        <w:rPr>
          <w:lang w:val="fr-FR"/>
        </w:rPr>
        <w:t xml:space="preserve"> et d’Asie et du Pacifique</w:t>
      </w:r>
      <w:r w:rsidR="006C4C5E" w:rsidRPr="00C579D1">
        <w:rPr>
          <w:lang w:val="fr-FR"/>
        </w:rPr>
        <w:t>.</w:t>
      </w:r>
      <w:r w:rsidR="006C6D13" w:rsidRPr="00C579D1">
        <w:rPr>
          <w:lang w:val="fr-FR"/>
        </w:rPr>
        <w:t xml:space="preserve"> </w:t>
      </w:r>
    </w:p>
    <w:p w:rsidR="006C4C5E" w:rsidRPr="00C579D1" w:rsidRDefault="00A12BA0" w:rsidP="006A33EE">
      <w:pPr>
        <w:pStyle w:val="Normalnumber"/>
        <w:tabs>
          <w:tab w:val="clear" w:pos="967"/>
          <w:tab w:val="clear" w:pos="1247"/>
          <w:tab w:val="clear" w:pos="1871"/>
          <w:tab w:val="left" w:pos="1843"/>
        </w:tabs>
        <w:ind w:left="1260"/>
        <w:rPr>
          <w:lang w:val="fr-FR"/>
        </w:rPr>
      </w:pPr>
      <w:r w:rsidRPr="00C579D1">
        <w:rPr>
          <w:lang w:val="fr-FR"/>
        </w:rPr>
        <w:t xml:space="preserve">Suite aux demandes formulées par </w:t>
      </w:r>
      <w:r w:rsidR="00DA1A98" w:rsidRPr="00C579D1">
        <w:rPr>
          <w:lang w:val="fr-FR"/>
        </w:rPr>
        <w:t xml:space="preserve">plusieurs pays et </w:t>
      </w:r>
      <w:r w:rsidRPr="00C579D1">
        <w:rPr>
          <w:lang w:val="fr-FR"/>
        </w:rPr>
        <w:t xml:space="preserve">en </w:t>
      </w:r>
      <w:r w:rsidR="00DA1A98" w:rsidRPr="00C579D1">
        <w:rPr>
          <w:lang w:val="fr-FR"/>
        </w:rPr>
        <w:t xml:space="preserve">appui </w:t>
      </w:r>
      <w:r w:rsidRPr="00C579D1">
        <w:rPr>
          <w:lang w:val="fr-FR"/>
        </w:rPr>
        <w:t xml:space="preserve">à </w:t>
      </w:r>
      <w:r w:rsidR="00DA1A98" w:rsidRPr="00C579D1">
        <w:rPr>
          <w:lang w:val="fr-FR"/>
        </w:rPr>
        <w:t>la résolution </w:t>
      </w:r>
      <w:r w:rsidR="00CE09CE" w:rsidRPr="00C579D1">
        <w:rPr>
          <w:lang w:val="fr-FR"/>
        </w:rPr>
        <w:t xml:space="preserve">70/195 </w:t>
      </w:r>
      <w:r w:rsidR="00DA1A98" w:rsidRPr="00C579D1">
        <w:rPr>
          <w:lang w:val="fr-FR"/>
        </w:rPr>
        <w:t>de l’Assemblée générale en date du 22 décembre </w:t>
      </w:r>
      <w:r w:rsidR="00CE09CE" w:rsidRPr="00C579D1">
        <w:rPr>
          <w:lang w:val="fr-FR"/>
        </w:rPr>
        <w:t xml:space="preserve">2015 </w:t>
      </w:r>
      <w:r w:rsidR="00DA1A98" w:rsidRPr="00C579D1">
        <w:rPr>
          <w:lang w:val="fr-FR"/>
        </w:rPr>
        <w:t>sur la lutte contre les tempêtes de sable et de poussière, le PNUE mène actuellement, en partenariat avec l’Organisat</w:t>
      </w:r>
      <w:r w:rsidR="00AE13B4">
        <w:rPr>
          <w:lang w:val="fr-FR"/>
        </w:rPr>
        <w:t>ion météorologique mondiale, le </w:t>
      </w:r>
      <w:r w:rsidR="00DA1A98" w:rsidRPr="00C579D1">
        <w:rPr>
          <w:lang w:val="fr-FR"/>
        </w:rPr>
        <w:t>secrétariat de la</w:t>
      </w:r>
      <w:r w:rsidR="006C6D13" w:rsidRPr="00C579D1">
        <w:rPr>
          <w:lang w:val="fr-FR"/>
        </w:rPr>
        <w:t xml:space="preserve"> </w:t>
      </w:r>
      <w:r w:rsidR="00DA1A98" w:rsidRPr="00C579D1">
        <w:rPr>
          <w:lang w:val="fr-FR"/>
        </w:rPr>
        <w:t>Convention des Nations Unies sur la lutte contre la désertification dans les pays gravement touchés par la sécheresse et/ou la désertification, en particulier en Afrique</w:t>
      </w:r>
      <w:r w:rsidR="004F11CE" w:rsidRPr="00C579D1">
        <w:rPr>
          <w:lang w:val="fr-FR"/>
        </w:rPr>
        <w:t>,</w:t>
      </w:r>
      <w:r w:rsidR="006335A3" w:rsidRPr="00C579D1">
        <w:rPr>
          <w:lang w:val="fr-FR"/>
        </w:rPr>
        <w:t xml:space="preserve"> </w:t>
      </w:r>
      <w:r w:rsidR="00AE13B4">
        <w:rPr>
          <w:lang w:val="fr-FR"/>
        </w:rPr>
        <w:t>et des États </w:t>
      </w:r>
      <w:r w:rsidR="00DA1A98" w:rsidRPr="00C579D1">
        <w:rPr>
          <w:lang w:val="fr-FR"/>
        </w:rPr>
        <w:t xml:space="preserve">membres, une évaluation mondiale </w:t>
      </w:r>
      <w:r w:rsidR="001325BB" w:rsidRPr="00C579D1">
        <w:rPr>
          <w:lang w:val="fr-FR"/>
        </w:rPr>
        <w:t>qui sera présentée à l’Assemblée des Nations Unies pour l’environnement à sa deuxième session</w:t>
      </w:r>
      <w:r w:rsidR="006C4C5E" w:rsidRPr="00C579D1">
        <w:rPr>
          <w:lang w:val="fr-FR"/>
        </w:rPr>
        <w:t>.</w:t>
      </w:r>
      <w:r w:rsidR="001325BB" w:rsidRPr="00C579D1">
        <w:rPr>
          <w:lang w:val="fr-FR"/>
        </w:rPr>
        <w:t xml:space="preserve"> L’évaluation aidera à mettre en évidence les liens entre les préoccupations sociales, économiques, environnementales et sanitaires ainsi que la nécessité d’adopter une approche intégrée pour atteindre un certain nombre d’objectifs</w:t>
      </w:r>
      <w:r w:rsidR="006C4C5E" w:rsidRPr="00C579D1">
        <w:rPr>
          <w:lang w:val="fr-FR"/>
        </w:rPr>
        <w:t>.</w:t>
      </w:r>
      <w:r w:rsidR="00661D66" w:rsidRPr="00C579D1">
        <w:rPr>
          <w:lang w:val="fr-FR"/>
        </w:rPr>
        <w:t xml:space="preserve"> S</w:t>
      </w:r>
      <w:r w:rsidR="001325BB" w:rsidRPr="00C579D1">
        <w:rPr>
          <w:lang w:val="fr-FR"/>
        </w:rPr>
        <w:t xml:space="preserve">ynthétisant les connaissances les plus récentes </w:t>
      </w:r>
      <w:r w:rsidR="00661D66" w:rsidRPr="00C579D1">
        <w:rPr>
          <w:lang w:val="fr-FR"/>
        </w:rPr>
        <w:t>dans les domaines de la science et d</w:t>
      </w:r>
      <w:r w:rsidR="002C0396" w:rsidRPr="00C579D1">
        <w:rPr>
          <w:lang w:val="fr-FR"/>
        </w:rPr>
        <w:t xml:space="preserve">es politiques </w:t>
      </w:r>
      <w:r w:rsidR="00661D66" w:rsidRPr="00C579D1">
        <w:rPr>
          <w:lang w:val="fr-FR"/>
        </w:rPr>
        <w:t>relatives</w:t>
      </w:r>
      <w:r w:rsidR="002C0396" w:rsidRPr="00C579D1">
        <w:rPr>
          <w:lang w:val="fr-FR"/>
        </w:rPr>
        <w:t xml:space="preserve"> aux tempêtes de sable et de poussière, l’évaluation appliquera ces connaissances afin de déterminer les éléments d’une stratégie globale de gestion et de prévention</w:t>
      </w:r>
      <w:r w:rsidR="006C6D13" w:rsidRPr="00C579D1">
        <w:rPr>
          <w:lang w:val="fr-FR"/>
        </w:rPr>
        <w:t xml:space="preserve"> </w:t>
      </w:r>
      <w:r w:rsidR="002C0396" w:rsidRPr="00C579D1">
        <w:rPr>
          <w:lang w:val="fr-FR"/>
        </w:rPr>
        <w:t>aux niveaux mondial, régional et national</w:t>
      </w:r>
      <w:r w:rsidR="006C4C5E" w:rsidRPr="00C579D1">
        <w:rPr>
          <w:lang w:val="fr-FR"/>
        </w:rPr>
        <w:t>.</w:t>
      </w:r>
      <w:r w:rsidR="002C0396" w:rsidRPr="00C579D1">
        <w:rPr>
          <w:lang w:val="fr-FR"/>
        </w:rPr>
        <w:t xml:space="preserve"> Elle permettra également de mieux faire connaître aux décideurs et aux parties prenantes</w:t>
      </w:r>
      <w:r w:rsidR="006C4C5E" w:rsidRPr="00C579D1">
        <w:rPr>
          <w:lang w:val="fr-FR"/>
        </w:rPr>
        <w:t xml:space="preserve"> </w:t>
      </w:r>
      <w:r w:rsidR="002C0396" w:rsidRPr="00C579D1">
        <w:rPr>
          <w:lang w:val="fr-FR"/>
        </w:rPr>
        <w:t xml:space="preserve">les </w:t>
      </w:r>
      <w:r w:rsidR="0027215A" w:rsidRPr="00C579D1">
        <w:rPr>
          <w:lang w:val="fr-FR"/>
        </w:rPr>
        <w:t>possibilités</w:t>
      </w:r>
      <w:r w:rsidR="002C0396" w:rsidRPr="00C579D1">
        <w:rPr>
          <w:lang w:val="fr-FR"/>
        </w:rPr>
        <w:t xml:space="preserve"> en matière de gestion des</w:t>
      </w:r>
      <w:r w:rsidR="006C4C5E" w:rsidRPr="00C579D1">
        <w:rPr>
          <w:lang w:val="fr-FR"/>
        </w:rPr>
        <w:t xml:space="preserve"> </w:t>
      </w:r>
      <w:r w:rsidR="002C0396" w:rsidRPr="00C579D1">
        <w:rPr>
          <w:lang w:val="fr-FR"/>
        </w:rPr>
        <w:t xml:space="preserve">tempêtes de sable et de poussière ainsi que les </w:t>
      </w:r>
      <w:r w:rsidR="0027215A" w:rsidRPr="00C579D1">
        <w:rPr>
          <w:lang w:val="fr-FR"/>
        </w:rPr>
        <w:t>manières</w:t>
      </w:r>
      <w:r w:rsidR="002C0396" w:rsidRPr="00C579D1">
        <w:rPr>
          <w:lang w:val="fr-FR"/>
        </w:rPr>
        <w:t xml:space="preserve"> d’encourager des partenariats en vue de</w:t>
      </w:r>
      <w:r w:rsidR="001140BD" w:rsidRPr="00C579D1">
        <w:rPr>
          <w:lang w:val="fr-FR"/>
        </w:rPr>
        <w:t xml:space="preserve"> la prise de</w:t>
      </w:r>
      <w:r w:rsidR="002C0396" w:rsidRPr="00C579D1">
        <w:rPr>
          <w:lang w:val="fr-FR"/>
        </w:rPr>
        <w:t xml:space="preserve"> mesures combinées </w:t>
      </w:r>
      <w:r w:rsidR="00661D66" w:rsidRPr="00C579D1">
        <w:rPr>
          <w:lang w:val="fr-FR"/>
        </w:rPr>
        <w:t>visant à</w:t>
      </w:r>
      <w:r w:rsidR="002C0396" w:rsidRPr="00C579D1">
        <w:rPr>
          <w:lang w:val="fr-FR"/>
        </w:rPr>
        <w:t xml:space="preserve"> maximiser l’</w:t>
      </w:r>
      <w:r w:rsidR="001140BD" w:rsidRPr="00C579D1">
        <w:rPr>
          <w:lang w:val="fr-FR"/>
        </w:rPr>
        <w:t>impact</w:t>
      </w:r>
      <w:r w:rsidR="006C4C5E" w:rsidRPr="00C579D1">
        <w:rPr>
          <w:lang w:val="fr-FR"/>
        </w:rPr>
        <w:t xml:space="preserve">. </w:t>
      </w:r>
    </w:p>
    <w:p w:rsidR="006C4C5E" w:rsidRPr="00C579D1" w:rsidRDefault="006335A3" w:rsidP="0084080C">
      <w:pPr>
        <w:pStyle w:val="CH3"/>
        <w:rPr>
          <w:lang w:val="fr-FR"/>
        </w:rPr>
      </w:pPr>
      <w:r w:rsidRPr="00C579D1">
        <w:rPr>
          <w:lang w:val="fr-FR"/>
        </w:rPr>
        <w:tab/>
      </w:r>
      <w:r w:rsidR="006C6D13" w:rsidRPr="00C579D1">
        <w:rPr>
          <w:lang w:val="fr-FR"/>
        </w:rPr>
        <w:t>3.</w:t>
      </w:r>
      <w:r w:rsidRPr="00C579D1">
        <w:rPr>
          <w:lang w:val="fr-FR"/>
        </w:rPr>
        <w:tab/>
      </w:r>
      <w:r w:rsidR="00570E1B" w:rsidRPr="00C579D1">
        <w:rPr>
          <w:lang w:val="fr-FR"/>
        </w:rPr>
        <w:t>Ressources en eau douce et ressources marines</w:t>
      </w:r>
    </w:p>
    <w:p w:rsidR="00AE13B4" w:rsidRDefault="00570E1B" w:rsidP="009855E1">
      <w:pPr>
        <w:pStyle w:val="Normalnumber"/>
        <w:tabs>
          <w:tab w:val="clear" w:pos="967"/>
          <w:tab w:val="clear" w:pos="1247"/>
          <w:tab w:val="clear" w:pos="1871"/>
          <w:tab w:val="left" w:pos="1843"/>
        </w:tabs>
        <w:ind w:left="1260"/>
        <w:rPr>
          <w:lang w:val="fr-FR"/>
        </w:rPr>
      </w:pPr>
      <w:r w:rsidRPr="00AE13B4">
        <w:rPr>
          <w:lang w:val="fr-FR"/>
        </w:rPr>
        <w:t>Le</w:t>
      </w:r>
      <w:r w:rsidR="006C4C5E" w:rsidRPr="00AE13B4">
        <w:rPr>
          <w:lang w:val="fr-FR"/>
        </w:rPr>
        <w:t xml:space="preserve"> </w:t>
      </w:r>
      <w:r w:rsidRPr="00AE13B4">
        <w:rPr>
          <w:lang w:val="fr-FR"/>
        </w:rPr>
        <w:t>Programme d’évaluation des eaux transfrontalières</w:t>
      </w:r>
      <w:r w:rsidR="00C15BFC" w:rsidRPr="00AE13B4">
        <w:rPr>
          <w:lang w:val="fr-FR"/>
        </w:rPr>
        <w:t>,</w:t>
      </w:r>
      <w:r w:rsidRPr="00AE13B4">
        <w:rPr>
          <w:lang w:val="fr-FR"/>
        </w:rPr>
        <w:t xml:space="preserve"> coordonn</w:t>
      </w:r>
      <w:r w:rsidR="00AE13B4" w:rsidRPr="00AE13B4">
        <w:rPr>
          <w:lang w:val="fr-FR"/>
        </w:rPr>
        <w:t>é par le PNUE et financé par le </w:t>
      </w:r>
      <w:r w:rsidRPr="00AE13B4">
        <w:rPr>
          <w:lang w:val="fr-FR"/>
        </w:rPr>
        <w:t>FEM</w:t>
      </w:r>
      <w:r w:rsidR="000B2506" w:rsidRPr="00AE13B4">
        <w:rPr>
          <w:lang w:val="fr-FR"/>
        </w:rPr>
        <w:t>,</w:t>
      </w:r>
      <w:r w:rsidR="006C4C5E" w:rsidRPr="00AE13B4">
        <w:rPr>
          <w:lang w:val="fr-FR"/>
        </w:rPr>
        <w:t xml:space="preserve"> </w:t>
      </w:r>
      <w:r w:rsidR="000B2506" w:rsidRPr="00AE13B4">
        <w:rPr>
          <w:lang w:val="fr-FR"/>
        </w:rPr>
        <w:t xml:space="preserve">vise à réaliser, par l’intermédiaire d’un réseau de partenaires, la première évaluation mondiale fondée sur des indicateurs portant sur cinq catégories de systèmes </w:t>
      </w:r>
      <w:r w:rsidR="001D235B" w:rsidRPr="00AE13B4">
        <w:rPr>
          <w:lang w:val="fr-FR"/>
        </w:rPr>
        <w:t>hydriques</w:t>
      </w:r>
      <w:r w:rsidR="00ED40E9" w:rsidRPr="00AE13B4">
        <w:rPr>
          <w:lang w:val="fr-FR"/>
        </w:rPr>
        <w:t xml:space="preserve"> transfrontaliers </w:t>
      </w:r>
      <w:r w:rsidR="00C15BFC" w:rsidRPr="00AE13B4">
        <w:rPr>
          <w:lang w:val="fr-FR"/>
        </w:rPr>
        <w:t xml:space="preserve">: </w:t>
      </w:r>
      <w:r w:rsidR="006C4C5E" w:rsidRPr="00AE13B4">
        <w:rPr>
          <w:lang w:val="fr-FR"/>
        </w:rPr>
        <w:t>aquif</w:t>
      </w:r>
      <w:r w:rsidR="00ED40E9" w:rsidRPr="00AE13B4">
        <w:rPr>
          <w:lang w:val="fr-FR"/>
        </w:rPr>
        <w:t>ère</w:t>
      </w:r>
      <w:r w:rsidR="006C4C5E" w:rsidRPr="00AE13B4">
        <w:rPr>
          <w:lang w:val="fr-FR"/>
        </w:rPr>
        <w:t xml:space="preserve">s </w:t>
      </w:r>
      <w:r w:rsidR="00ED40E9" w:rsidRPr="00AE13B4">
        <w:rPr>
          <w:lang w:val="fr-FR"/>
        </w:rPr>
        <w:t>et</w:t>
      </w:r>
      <w:r w:rsidR="006C4C5E" w:rsidRPr="00AE13B4">
        <w:rPr>
          <w:lang w:val="fr-FR"/>
        </w:rPr>
        <w:t xml:space="preserve"> </w:t>
      </w:r>
      <w:r w:rsidR="00ED40E9" w:rsidRPr="00AE13B4">
        <w:rPr>
          <w:lang w:val="fr-FR"/>
        </w:rPr>
        <w:t>systèmes d’eau souterraine des petits États insulaires en développement, lac</w:t>
      </w:r>
      <w:r w:rsidR="006C4C5E" w:rsidRPr="00AE13B4">
        <w:rPr>
          <w:lang w:val="fr-FR"/>
        </w:rPr>
        <w:t xml:space="preserve">s </w:t>
      </w:r>
      <w:r w:rsidR="00ED40E9" w:rsidRPr="00AE13B4">
        <w:rPr>
          <w:lang w:val="fr-FR"/>
        </w:rPr>
        <w:t>et</w:t>
      </w:r>
      <w:r w:rsidR="006C4C5E" w:rsidRPr="00AE13B4">
        <w:rPr>
          <w:lang w:val="fr-FR"/>
        </w:rPr>
        <w:t xml:space="preserve"> r</w:t>
      </w:r>
      <w:r w:rsidR="00ED40E9" w:rsidRPr="00AE13B4">
        <w:rPr>
          <w:lang w:val="fr-FR"/>
        </w:rPr>
        <w:t>é</w:t>
      </w:r>
      <w:r w:rsidR="006C4C5E" w:rsidRPr="00AE13B4">
        <w:rPr>
          <w:lang w:val="fr-FR"/>
        </w:rPr>
        <w:t xml:space="preserve">servoirs, </w:t>
      </w:r>
      <w:r w:rsidR="00ED40E9" w:rsidRPr="00AE13B4">
        <w:rPr>
          <w:lang w:val="fr-FR"/>
        </w:rPr>
        <w:t>bassins hydrographiques</w:t>
      </w:r>
      <w:r w:rsidR="006C4C5E" w:rsidRPr="00AE13B4">
        <w:rPr>
          <w:lang w:val="fr-FR"/>
        </w:rPr>
        <w:t xml:space="preserve">, </w:t>
      </w:r>
      <w:r w:rsidR="00ED40E9" w:rsidRPr="00AE13B4">
        <w:rPr>
          <w:lang w:val="fr-FR"/>
        </w:rPr>
        <w:t>grands écosystèmes marins et</w:t>
      </w:r>
      <w:r w:rsidR="006C4C5E" w:rsidRPr="00AE13B4">
        <w:rPr>
          <w:lang w:val="fr-FR"/>
        </w:rPr>
        <w:t xml:space="preserve"> </w:t>
      </w:r>
      <w:r w:rsidR="00ED40E9" w:rsidRPr="00AE13B4">
        <w:rPr>
          <w:lang w:val="fr-FR"/>
        </w:rPr>
        <w:t>haute mer</w:t>
      </w:r>
      <w:r w:rsidR="00C15BFC" w:rsidRPr="00AE13B4">
        <w:rPr>
          <w:lang w:val="fr-FR"/>
        </w:rPr>
        <w:t>.</w:t>
      </w:r>
      <w:r w:rsidR="006C4C5E" w:rsidRPr="00AE13B4">
        <w:rPr>
          <w:lang w:val="fr-FR"/>
        </w:rPr>
        <w:t xml:space="preserve"> </w:t>
      </w:r>
      <w:r w:rsidR="00ED40E9" w:rsidRPr="00AE13B4">
        <w:rPr>
          <w:lang w:val="fr-FR"/>
        </w:rPr>
        <w:t>Le PNUE coordonne les travaux des partenaires</w:t>
      </w:r>
      <w:r w:rsidR="006C4C5E" w:rsidRPr="00AE13B4">
        <w:rPr>
          <w:lang w:val="fr-FR"/>
        </w:rPr>
        <w:t xml:space="preserve"> </w:t>
      </w:r>
      <w:r w:rsidR="00ED40E9" w:rsidRPr="00AE13B4">
        <w:rPr>
          <w:lang w:val="fr-FR"/>
        </w:rPr>
        <w:t>chefs de file</w:t>
      </w:r>
      <w:r w:rsidR="00C15BFC" w:rsidRPr="00AE13B4">
        <w:rPr>
          <w:lang w:val="fr-FR"/>
        </w:rPr>
        <w:t xml:space="preserve"> – </w:t>
      </w:r>
      <w:r w:rsidR="00ED40E9" w:rsidRPr="00AE13B4">
        <w:rPr>
          <w:lang w:val="fr-FR"/>
        </w:rPr>
        <w:t>l’Organisation des Nations Unies pou</w:t>
      </w:r>
      <w:r w:rsidR="003B1C72" w:rsidRPr="00AE13B4">
        <w:rPr>
          <w:lang w:val="fr-FR"/>
        </w:rPr>
        <w:t>r l’éducation, la science et la </w:t>
      </w:r>
      <w:r w:rsidR="00ED40E9" w:rsidRPr="00AE13B4">
        <w:rPr>
          <w:lang w:val="fr-FR"/>
        </w:rPr>
        <w:t>culture</w:t>
      </w:r>
      <w:r w:rsidR="00C02C77" w:rsidRPr="00AE13B4">
        <w:rPr>
          <w:lang w:val="fr-FR"/>
        </w:rPr>
        <w:t>, son</w:t>
      </w:r>
      <w:r w:rsidR="00ED40E9" w:rsidRPr="00AE13B4">
        <w:rPr>
          <w:lang w:val="fr-FR"/>
        </w:rPr>
        <w:t xml:space="preserve"> </w:t>
      </w:r>
      <w:r w:rsidR="00C02C77" w:rsidRPr="00AE13B4">
        <w:rPr>
          <w:lang w:val="fr-FR"/>
        </w:rPr>
        <w:t>Programme hydrologique international et sa Commission océanographique intergouvernementale</w:t>
      </w:r>
      <w:r w:rsidR="00C15BFC" w:rsidRPr="00AE13B4">
        <w:rPr>
          <w:lang w:val="fr-FR"/>
        </w:rPr>
        <w:t xml:space="preserve">, </w:t>
      </w:r>
      <w:r w:rsidR="00AE13B4" w:rsidRPr="00AE13B4">
        <w:rPr>
          <w:lang w:val="fr-FR"/>
        </w:rPr>
        <w:t>le </w:t>
      </w:r>
      <w:r w:rsidR="00061A95" w:rsidRPr="00AE13B4">
        <w:rPr>
          <w:lang w:val="fr-FR"/>
        </w:rPr>
        <w:t>Centre collaborateur PNUE-DHI dans le domaine de l’eau et</w:t>
      </w:r>
      <w:r w:rsidR="00C15BFC" w:rsidRPr="00AE13B4">
        <w:rPr>
          <w:lang w:val="fr-FR"/>
        </w:rPr>
        <w:t xml:space="preserve"> </w:t>
      </w:r>
      <w:r w:rsidR="00291BDF" w:rsidRPr="00AE13B4">
        <w:rPr>
          <w:lang w:val="fr-FR"/>
        </w:rPr>
        <w:t xml:space="preserve">de l’environnement et </w:t>
      </w:r>
      <w:r w:rsidR="00E53478" w:rsidRPr="00AE13B4">
        <w:rPr>
          <w:lang w:val="fr-FR"/>
        </w:rPr>
        <w:t xml:space="preserve">le </w:t>
      </w:r>
      <w:r w:rsidR="00061A95" w:rsidRPr="00AE13B4">
        <w:rPr>
          <w:lang w:val="fr-FR"/>
        </w:rPr>
        <w:t>Comité international des écosystèmes lacustres</w:t>
      </w:r>
      <w:r w:rsidR="0081213E" w:rsidRPr="00AE13B4">
        <w:rPr>
          <w:lang w:val="fr-FR"/>
        </w:rPr>
        <w:t>.</w:t>
      </w:r>
      <w:r w:rsidR="00061A95" w:rsidRPr="00AE13B4">
        <w:rPr>
          <w:lang w:val="fr-FR"/>
        </w:rPr>
        <w:t xml:space="preserve"> Chaque partenaire chef de file mobilise un réseau de partenaires</w:t>
      </w:r>
      <w:r w:rsidR="00223601" w:rsidRPr="00AE13B4">
        <w:rPr>
          <w:lang w:val="fr-FR"/>
        </w:rPr>
        <w:t xml:space="preserve"> dont les responsabilités thématiques et géographiques son</w:t>
      </w:r>
      <w:r w:rsidR="00007D1D" w:rsidRPr="00AE13B4">
        <w:rPr>
          <w:lang w:val="fr-FR"/>
        </w:rPr>
        <w:t>t</w:t>
      </w:r>
      <w:r w:rsidR="00223601" w:rsidRPr="00AE13B4">
        <w:rPr>
          <w:lang w:val="fr-FR"/>
        </w:rPr>
        <w:t xml:space="preserve"> </w:t>
      </w:r>
      <w:r w:rsidR="00E53478" w:rsidRPr="00AE13B4">
        <w:rPr>
          <w:lang w:val="fr-FR"/>
        </w:rPr>
        <w:t>définies</w:t>
      </w:r>
      <w:r w:rsidR="00223601" w:rsidRPr="00AE13B4">
        <w:rPr>
          <w:lang w:val="fr-FR"/>
        </w:rPr>
        <w:t>, ainsi qu’un réseau d’institutions et d’organisations</w:t>
      </w:r>
      <w:r w:rsidR="006C4C5E" w:rsidRPr="00AE13B4">
        <w:rPr>
          <w:lang w:val="fr-FR"/>
        </w:rPr>
        <w:t xml:space="preserve"> </w:t>
      </w:r>
      <w:r w:rsidR="00223601" w:rsidRPr="00AE13B4">
        <w:rPr>
          <w:lang w:val="fr-FR"/>
        </w:rPr>
        <w:t>riches en données et en informations</w:t>
      </w:r>
      <w:r w:rsidR="006C4C5E" w:rsidRPr="00AE13B4">
        <w:rPr>
          <w:lang w:val="fr-FR"/>
        </w:rPr>
        <w:t>.</w:t>
      </w:r>
      <w:r w:rsidR="00223601" w:rsidRPr="00AE13B4">
        <w:rPr>
          <w:lang w:val="fr-FR"/>
        </w:rPr>
        <w:t xml:space="preserve"> L</w:t>
      </w:r>
      <w:r w:rsidR="003B1C72" w:rsidRPr="00AE13B4">
        <w:rPr>
          <w:lang w:val="fr-FR"/>
        </w:rPr>
        <w:t>e </w:t>
      </w:r>
      <w:r w:rsidR="00C15BFC" w:rsidRPr="00AE13B4">
        <w:rPr>
          <w:lang w:val="fr-FR"/>
        </w:rPr>
        <w:t>Programme</w:t>
      </w:r>
      <w:r w:rsidR="00C15BFC" w:rsidRPr="00AE13B4" w:rsidDel="00C15BFC">
        <w:rPr>
          <w:lang w:val="fr-FR"/>
        </w:rPr>
        <w:t xml:space="preserve"> </w:t>
      </w:r>
      <w:r w:rsidR="00223601" w:rsidRPr="00AE13B4">
        <w:rPr>
          <w:lang w:val="fr-FR"/>
        </w:rPr>
        <w:t>fournit une évaluation</w:t>
      </w:r>
      <w:r w:rsidR="006C4C5E" w:rsidRPr="00AE13B4">
        <w:rPr>
          <w:lang w:val="fr-FR"/>
        </w:rPr>
        <w:t xml:space="preserve"> </w:t>
      </w:r>
      <w:r w:rsidR="00223601" w:rsidRPr="00AE13B4">
        <w:rPr>
          <w:lang w:val="fr-FR"/>
        </w:rPr>
        <w:t xml:space="preserve">de référence permettant de déterminer et d’étudier les changements intervenus dans les systèmes </w:t>
      </w:r>
      <w:r w:rsidR="00E53478" w:rsidRPr="00AE13B4">
        <w:rPr>
          <w:lang w:val="fr-FR"/>
        </w:rPr>
        <w:t>hydriques</w:t>
      </w:r>
      <w:r w:rsidR="00223601" w:rsidRPr="00AE13B4">
        <w:rPr>
          <w:lang w:val="fr-FR"/>
        </w:rPr>
        <w:t xml:space="preserve"> transfrontaliers résultant d’activités humaines et de phénomènes naturels ainsi que leurs conséquences sur les populations humaines qui en dépendent</w:t>
      </w:r>
      <w:r w:rsidR="006C4C5E" w:rsidRPr="00AE13B4">
        <w:rPr>
          <w:lang w:val="fr-FR"/>
        </w:rPr>
        <w:t xml:space="preserve">. </w:t>
      </w:r>
      <w:r w:rsidR="00223601" w:rsidRPr="00AE13B4">
        <w:rPr>
          <w:lang w:val="fr-FR"/>
        </w:rPr>
        <w:t xml:space="preserve">Il a formalisé des partenariats institutionnels pour l’évaluation </w:t>
      </w:r>
      <w:r w:rsidR="00786D06" w:rsidRPr="00AE13B4">
        <w:rPr>
          <w:lang w:val="fr-FR"/>
        </w:rPr>
        <w:t>en cours</w:t>
      </w:r>
      <w:r w:rsidR="00223601" w:rsidRPr="00AE13B4">
        <w:rPr>
          <w:lang w:val="fr-FR"/>
        </w:rPr>
        <w:t>, pouvant aboutir à des évaluations ultérieures des eaux internationales</w:t>
      </w:r>
      <w:r w:rsidR="006C4C5E" w:rsidRPr="00AE13B4">
        <w:rPr>
          <w:lang w:val="fr-FR"/>
        </w:rPr>
        <w:t>.</w:t>
      </w:r>
      <w:r w:rsidR="001D235B" w:rsidRPr="00AE13B4">
        <w:rPr>
          <w:lang w:val="fr-FR"/>
        </w:rPr>
        <w:t xml:space="preserve"> </w:t>
      </w:r>
    </w:p>
    <w:p w:rsidR="00AE13B4" w:rsidRDefault="00AE13B4">
      <w:pPr>
        <w:tabs>
          <w:tab w:val="clear" w:pos="1247"/>
          <w:tab w:val="clear" w:pos="1814"/>
          <w:tab w:val="clear" w:pos="2381"/>
          <w:tab w:val="clear" w:pos="2948"/>
          <w:tab w:val="clear" w:pos="3515"/>
        </w:tabs>
      </w:pPr>
      <w:r>
        <w:br w:type="page"/>
      </w:r>
    </w:p>
    <w:p w:rsidR="006C4C5E" w:rsidRPr="00AE13B4" w:rsidRDefault="001D235B" w:rsidP="003B1C72">
      <w:pPr>
        <w:pStyle w:val="Normalnumber"/>
        <w:numPr>
          <w:ilvl w:val="0"/>
          <w:numId w:val="0"/>
        </w:numPr>
        <w:tabs>
          <w:tab w:val="clear" w:pos="1247"/>
          <w:tab w:val="clear" w:pos="1871"/>
          <w:tab w:val="left" w:pos="1843"/>
        </w:tabs>
        <w:ind w:left="1260"/>
        <w:rPr>
          <w:lang w:val="fr-FR"/>
        </w:rPr>
      </w:pPr>
      <w:r w:rsidRPr="00AE13B4">
        <w:rPr>
          <w:lang w:val="fr-FR"/>
        </w:rPr>
        <w:lastRenderedPageBreak/>
        <w:t>Les résultats de l’évaluation et les profils des systèmes</w:t>
      </w:r>
      <w:r w:rsidR="006C4C5E" w:rsidRPr="00AE13B4">
        <w:rPr>
          <w:lang w:val="fr-FR"/>
        </w:rPr>
        <w:t xml:space="preserve"> </w:t>
      </w:r>
      <w:r w:rsidR="00A90D71" w:rsidRPr="00AE13B4">
        <w:rPr>
          <w:lang w:val="fr-FR"/>
        </w:rPr>
        <w:t xml:space="preserve">hydriques transfrontaliers seront </w:t>
      </w:r>
      <w:r w:rsidR="00FA0B88" w:rsidRPr="00AE13B4">
        <w:rPr>
          <w:lang w:val="fr-FR"/>
        </w:rPr>
        <w:t>mis à disposition</w:t>
      </w:r>
      <w:r w:rsidR="00A90D71" w:rsidRPr="00AE13B4">
        <w:rPr>
          <w:lang w:val="fr-FR"/>
        </w:rPr>
        <w:t xml:space="preserve"> par l’intermédiaire d’un</w:t>
      </w:r>
      <w:r w:rsidR="00FA0B88" w:rsidRPr="00AE13B4">
        <w:rPr>
          <w:lang w:val="fr-FR"/>
        </w:rPr>
        <w:t>e</w:t>
      </w:r>
      <w:r w:rsidR="00A90D71" w:rsidRPr="00AE13B4">
        <w:rPr>
          <w:lang w:val="fr-FR"/>
        </w:rPr>
        <w:t xml:space="preserve"> </w:t>
      </w:r>
      <w:r w:rsidR="00FA0B88" w:rsidRPr="00AE13B4">
        <w:rPr>
          <w:lang w:val="fr-FR"/>
        </w:rPr>
        <w:t>visionneuse</w:t>
      </w:r>
      <w:r w:rsidR="00A90D71" w:rsidRPr="00AE13B4">
        <w:rPr>
          <w:lang w:val="fr-FR"/>
        </w:rPr>
        <w:t xml:space="preserve"> de données sur le site web du</w:t>
      </w:r>
      <w:r w:rsidR="006C4C5E" w:rsidRPr="00AE13B4">
        <w:rPr>
          <w:lang w:val="fr-FR"/>
        </w:rPr>
        <w:t xml:space="preserve"> </w:t>
      </w:r>
      <w:r w:rsidR="00A90D71" w:rsidRPr="00AE13B4">
        <w:rPr>
          <w:lang w:val="fr-FR"/>
        </w:rPr>
        <w:t>Programme d’évaluation des eaux transfrontalières</w:t>
      </w:r>
      <w:r w:rsidR="00BC56C0" w:rsidRPr="00AE13B4">
        <w:rPr>
          <w:lang w:val="fr-FR"/>
        </w:rPr>
        <w:t>,</w:t>
      </w:r>
      <w:r w:rsidR="00C15BFC" w:rsidRPr="00C579D1">
        <w:rPr>
          <w:rStyle w:val="FootnoteReference"/>
          <w:lang w:val="fr-FR"/>
        </w:rPr>
        <w:footnoteReference w:id="3"/>
      </w:r>
      <w:r w:rsidR="00C15BFC" w:rsidRPr="00AE13B4">
        <w:rPr>
          <w:lang w:val="fr-FR"/>
        </w:rPr>
        <w:t xml:space="preserve"> </w:t>
      </w:r>
      <w:r w:rsidR="00FA0B88" w:rsidRPr="00AE13B4">
        <w:rPr>
          <w:lang w:val="fr-FR"/>
        </w:rPr>
        <w:t xml:space="preserve">ainsi que sur les sites web de partenaires et </w:t>
      </w:r>
      <w:r w:rsidR="006F0DD1" w:rsidRPr="00AE13B4">
        <w:rPr>
          <w:lang w:val="fr-FR"/>
        </w:rPr>
        <w:t>de la plateforme</w:t>
      </w:r>
      <w:r w:rsidR="00FA0B88" w:rsidRPr="00AE13B4">
        <w:rPr>
          <w:lang w:val="fr-FR"/>
        </w:rPr>
        <w:t xml:space="preserve"> « </w:t>
      </w:r>
      <w:r w:rsidR="006F0DD1" w:rsidRPr="00AE13B4">
        <w:rPr>
          <w:lang w:val="fr-FR"/>
        </w:rPr>
        <w:t xml:space="preserve">Le </w:t>
      </w:r>
      <w:r w:rsidR="00FA0B88" w:rsidRPr="00AE13B4">
        <w:rPr>
          <w:lang w:val="fr-FR"/>
        </w:rPr>
        <w:t>PNUE en direct »</w:t>
      </w:r>
      <w:r w:rsidR="00C15BFC" w:rsidRPr="00AE13B4">
        <w:rPr>
          <w:lang w:val="fr-FR"/>
        </w:rPr>
        <w:t>.</w:t>
      </w:r>
    </w:p>
    <w:p w:rsidR="006C4C5E" w:rsidRPr="00C579D1" w:rsidRDefault="006E0F2F" w:rsidP="00541B0D">
      <w:pPr>
        <w:pStyle w:val="Normalnumber"/>
        <w:tabs>
          <w:tab w:val="clear" w:pos="967"/>
          <w:tab w:val="clear" w:pos="1247"/>
          <w:tab w:val="clear" w:pos="1871"/>
          <w:tab w:val="left" w:pos="1843"/>
        </w:tabs>
        <w:ind w:left="1260"/>
        <w:rPr>
          <w:lang w:val="fr-FR"/>
        </w:rPr>
      </w:pPr>
      <w:r w:rsidRPr="00C579D1">
        <w:rPr>
          <w:lang w:val="fr-FR"/>
        </w:rPr>
        <w:t>En réponse au nombre croissant de nouveaux cas observés de pollution de l’eau résultant du développement humain et ayant un impact sur la qualité de l’eau des systèmes d’eau de surface et souterraine dans le monde entier,</w:t>
      </w:r>
      <w:r w:rsidR="006C4C5E" w:rsidRPr="00C579D1">
        <w:rPr>
          <w:lang w:val="fr-FR"/>
        </w:rPr>
        <w:t xml:space="preserve"> </w:t>
      </w:r>
      <w:r w:rsidRPr="00C579D1">
        <w:rPr>
          <w:lang w:val="fr-FR"/>
        </w:rPr>
        <w:t>ONU-Eau</w:t>
      </w:r>
      <w:r w:rsidR="00A97A85" w:rsidRPr="00C579D1">
        <w:rPr>
          <w:vertAlign w:val="superscript"/>
          <w:lang w:val="fr-FR"/>
        </w:rPr>
        <w:footnoteReference w:id="4"/>
      </w:r>
      <w:r w:rsidR="00B019CD" w:rsidRPr="00C579D1">
        <w:rPr>
          <w:vertAlign w:val="superscript"/>
          <w:lang w:val="fr-FR"/>
        </w:rPr>
        <w:t xml:space="preserve"> </w:t>
      </w:r>
      <w:r w:rsidRPr="00C579D1">
        <w:rPr>
          <w:lang w:val="fr-FR"/>
        </w:rPr>
        <w:t xml:space="preserve">a mis en évidence, dans le cadre d’une </w:t>
      </w:r>
      <w:r w:rsidR="00CB6151" w:rsidRPr="00C579D1">
        <w:rPr>
          <w:lang w:val="fr-FR"/>
        </w:rPr>
        <w:t xml:space="preserve">étude préalable </w:t>
      </w:r>
      <w:r w:rsidR="00E85EB1">
        <w:rPr>
          <w:lang w:val="fr-FR"/>
        </w:rPr>
        <w:t xml:space="preserve">à l’établissement </w:t>
      </w:r>
      <w:r w:rsidR="00CB6151" w:rsidRPr="00C579D1">
        <w:rPr>
          <w:lang w:val="fr-FR"/>
        </w:rPr>
        <w:t>d’un rapport</w:t>
      </w:r>
      <w:r w:rsidR="00E53478" w:rsidRPr="00C579D1">
        <w:rPr>
          <w:lang w:val="fr-FR"/>
        </w:rPr>
        <w:t xml:space="preserve"> mondial</w:t>
      </w:r>
      <w:r w:rsidR="00CB6151" w:rsidRPr="00C579D1">
        <w:rPr>
          <w:lang w:val="fr-FR"/>
        </w:rPr>
        <w:t xml:space="preserve"> sur la qualité de l’eau dans les pays en développement, d’importante</w:t>
      </w:r>
      <w:r w:rsidR="00E53478" w:rsidRPr="00C579D1">
        <w:rPr>
          <w:lang w:val="fr-FR"/>
        </w:rPr>
        <w:t>s</w:t>
      </w:r>
      <w:r w:rsidR="00CB6151" w:rsidRPr="00C579D1">
        <w:rPr>
          <w:lang w:val="fr-FR"/>
        </w:rPr>
        <w:t xml:space="preserve"> lacunes en matière de données et de connaissances</w:t>
      </w:r>
      <w:r w:rsidR="006C4C5E" w:rsidRPr="00C579D1">
        <w:rPr>
          <w:lang w:val="fr-FR"/>
        </w:rPr>
        <w:t>.</w:t>
      </w:r>
      <w:r w:rsidR="00CB6151" w:rsidRPr="00C579D1">
        <w:rPr>
          <w:lang w:val="fr-FR"/>
        </w:rPr>
        <w:t xml:space="preserve"> Un partenariat, </w:t>
      </w:r>
      <w:r w:rsidR="00475838" w:rsidRPr="00C579D1">
        <w:rPr>
          <w:lang w:val="fr-FR"/>
        </w:rPr>
        <w:t>sous l’égide du PNUE, a été forg</w:t>
      </w:r>
      <w:r w:rsidR="00CB6151" w:rsidRPr="00C579D1">
        <w:rPr>
          <w:lang w:val="fr-FR"/>
        </w:rPr>
        <w:t>é afin d’évaluer les défis liés à la qualité de l’eau au niveau mondial. Ce partenariat se compose notamment des partenaires suivants :</w:t>
      </w:r>
      <w:r w:rsidR="006C4C5E" w:rsidRPr="00C579D1">
        <w:rPr>
          <w:lang w:val="fr-FR"/>
        </w:rPr>
        <w:t xml:space="preserve"> </w:t>
      </w:r>
      <w:r w:rsidR="00CB6151" w:rsidRPr="00C579D1">
        <w:rPr>
          <w:lang w:val="fr-FR"/>
        </w:rPr>
        <w:t xml:space="preserve">le Système </w:t>
      </w:r>
      <w:r w:rsidR="00DD55FD" w:rsidRPr="00C579D1">
        <w:rPr>
          <w:lang w:val="fr-FR"/>
        </w:rPr>
        <w:t xml:space="preserve">mondial </w:t>
      </w:r>
      <w:r w:rsidR="00CB6151" w:rsidRPr="00C579D1">
        <w:rPr>
          <w:lang w:val="fr-FR"/>
        </w:rPr>
        <w:t xml:space="preserve">de surveillance </w:t>
      </w:r>
      <w:r w:rsidR="00DD55FD" w:rsidRPr="00C579D1">
        <w:rPr>
          <w:lang w:val="fr-FR"/>
        </w:rPr>
        <w:t xml:space="preserve">continue </w:t>
      </w:r>
      <w:r w:rsidR="00CB6151" w:rsidRPr="00C579D1">
        <w:rPr>
          <w:lang w:val="fr-FR"/>
        </w:rPr>
        <w:t>de l’environnement</w:t>
      </w:r>
      <w:r w:rsidR="00DD55FD" w:rsidRPr="00C579D1">
        <w:rPr>
          <w:lang w:val="fr-FR"/>
        </w:rPr>
        <w:t>/Programme sur l’eau</w:t>
      </w:r>
      <w:r w:rsidR="006C4C5E" w:rsidRPr="00C579D1">
        <w:rPr>
          <w:lang w:val="fr-FR"/>
        </w:rPr>
        <w:t xml:space="preserve">, </w:t>
      </w:r>
      <w:r w:rsidR="00CB6151" w:rsidRPr="00C579D1">
        <w:rPr>
          <w:lang w:val="fr-FR"/>
        </w:rPr>
        <w:t xml:space="preserve">le Centre Helmholtz pour la recherche environnementale </w:t>
      </w:r>
      <w:r w:rsidR="00C15BFC" w:rsidRPr="00C579D1">
        <w:rPr>
          <w:lang w:val="fr-FR"/>
        </w:rPr>
        <w:t>(</w:t>
      </w:r>
      <w:r w:rsidR="00CB6151" w:rsidRPr="00C579D1">
        <w:rPr>
          <w:lang w:val="fr-FR"/>
        </w:rPr>
        <w:t>Allemagne</w:t>
      </w:r>
      <w:r w:rsidR="00C15BFC" w:rsidRPr="00C579D1">
        <w:rPr>
          <w:lang w:val="fr-FR"/>
        </w:rPr>
        <w:t xml:space="preserve">) </w:t>
      </w:r>
      <w:r w:rsidR="00CB6151" w:rsidRPr="00C579D1">
        <w:rPr>
          <w:lang w:val="fr-FR"/>
        </w:rPr>
        <w:t>et</w:t>
      </w:r>
      <w:r w:rsidR="00D81123" w:rsidRPr="00C579D1">
        <w:rPr>
          <w:lang w:val="fr-FR"/>
        </w:rPr>
        <w:t xml:space="preserve"> </w:t>
      </w:r>
      <w:r w:rsidR="00CB6151" w:rsidRPr="00C579D1">
        <w:rPr>
          <w:lang w:val="fr-FR"/>
        </w:rPr>
        <w:t>le</w:t>
      </w:r>
      <w:r w:rsidR="00D81123" w:rsidRPr="00C579D1">
        <w:rPr>
          <w:lang w:val="fr-FR"/>
        </w:rPr>
        <w:t xml:space="preserve"> </w:t>
      </w:r>
      <w:r w:rsidR="00CB6151" w:rsidRPr="00C579D1">
        <w:rPr>
          <w:lang w:val="fr-FR"/>
        </w:rPr>
        <w:t>Centre pour la recherche sur les systèmes environnementaux</w:t>
      </w:r>
      <w:r w:rsidR="00C15BFC" w:rsidRPr="00C579D1">
        <w:rPr>
          <w:lang w:val="fr-FR"/>
        </w:rPr>
        <w:t xml:space="preserve"> (</w:t>
      </w:r>
      <w:r w:rsidR="00CB6151" w:rsidRPr="00C579D1">
        <w:rPr>
          <w:lang w:val="fr-FR"/>
        </w:rPr>
        <w:t>Allemagne</w:t>
      </w:r>
      <w:r w:rsidR="00C15BFC" w:rsidRPr="00C579D1">
        <w:rPr>
          <w:lang w:val="fr-FR"/>
        </w:rPr>
        <w:t>)</w:t>
      </w:r>
      <w:r w:rsidR="006C4C5E" w:rsidRPr="00C579D1">
        <w:rPr>
          <w:lang w:val="fr-FR"/>
        </w:rPr>
        <w:t xml:space="preserve">, </w:t>
      </w:r>
      <w:r w:rsidR="00CB6151" w:rsidRPr="00C579D1">
        <w:rPr>
          <w:lang w:val="fr-FR"/>
        </w:rPr>
        <w:t>et bénéficie de</w:t>
      </w:r>
      <w:r w:rsidR="00C15BFC" w:rsidRPr="00C579D1">
        <w:rPr>
          <w:lang w:val="fr-FR"/>
        </w:rPr>
        <w:t xml:space="preserve"> </w:t>
      </w:r>
      <w:r w:rsidR="006C4C5E" w:rsidRPr="00C579D1">
        <w:rPr>
          <w:lang w:val="fr-FR"/>
        </w:rPr>
        <w:t xml:space="preserve">contributions </w:t>
      </w:r>
      <w:r w:rsidR="00183BFF" w:rsidRPr="00C579D1">
        <w:rPr>
          <w:lang w:val="fr-FR"/>
        </w:rPr>
        <w:t>d’un groupe scientifique d’éminents hydrologues provenant de pays développés et en développement</w:t>
      </w:r>
      <w:r w:rsidR="006C4C5E" w:rsidRPr="00C579D1">
        <w:rPr>
          <w:lang w:val="fr-FR"/>
        </w:rPr>
        <w:t>.</w:t>
      </w:r>
      <w:r w:rsidR="00183BFF" w:rsidRPr="00C579D1">
        <w:rPr>
          <w:lang w:val="fr-FR"/>
        </w:rPr>
        <w:t xml:space="preserve"> L’étude intitulée « </w:t>
      </w:r>
      <w:r w:rsidR="006E0817" w:rsidRPr="00C579D1">
        <w:rPr>
          <w:lang w:val="fr-FR"/>
        </w:rPr>
        <w:t xml:space="preserve">A </w:t>
      </w:r>
      <w:r w:rsidR="00220B86" w:rsidRPr="00C579D1">
        <w:rPr>
          <w:lang w:val="fr-FR"/>
        </w:rPr>
        <w:t>snapshot of the world’s water quality: towards a global assessment</w:t>
      </w:r>
      <w:r w:rsidR="00183BFF" w:rsidRPr="00C579D1">
        <w:rPr>
          <w:lang w:val="fr-FR"/>
        </w:rPr>
        <w:t xml:space="preserve"> » sera présentée à l’occasion d’un forum scientifique et politique qui </w:t>
      </w:r>
      <w:r w:rsidR="00C74595" w:rsidRPr="00C579D1">
        <w:rPr>
          <w:lang w:val="fr-FR"/>
        </w:rPr>
        <w:t>doit se tenir</w:t>
      </w:r>
      <w:r w:rsidR="00183BFF" w:rsidRPr="00C579D1">
        <w:rPr>
          <w:lang w:val="fr-FR"/>
        </w:rPr>
        <w:t xml:space="preserve"> à Nairobi les </w:t>
      </w:r>
      <w:r w:rsidR="006E0817" w:rsidRPr="00C579D1">
        <w:rPr>
          <w:lang w:val="fr-FR"/>
        </w:rPr>
        <w:t>19</w:t>
      </w:r>
      <w:r w:rsidR="00220B86" w:rsidRPr="00C579D1">
        <w:rPr>
          <w:lang w:val="fr-FR"/>
        </w:rPr>
        <w:t xml:space="preserve"> </w:t>
      </w:r>
      <w:r w:rsidR="00183BFF" w:rsidRPr="00C579D1">
        <w:rPr>
          <w:lang w:val="fr-FR"/>
        </w:rPr>
        <w:t>et</w:t>
      </w:r>
      <w:r w:rsidR="00220B86" w:rsidRPr="00C579D1">
        <w:rPr>
          <w:lang w:val="fr-FR"/>
        </w:rPr>
        <w:t xml:space="preserve"> </w:t>
      </w:r>
      <w:r w:rsidR="00183BFF" w:rsidRPr="00C579D1">
        <w:rPr>
          <w:lang w:val="fr-FR"/>
        </w:rPr>
        <w:t>20 mai </w:t>
      </w:r>
      <w:r w:rsidR="006E0817" w:rsidRPr="00C579D1">
        <w:rPr>
          <w:lang w:val="fr-FR"/>
        </w:rPr>
        <w:t>2016</w:t>
      </w:r>
      <w:r w:rsidR="00BC56C0" w:rsidRPr="00C579D1">
        <w:rPr>
          <w:lang w:val="fr-FR"/>
        </w:rPr>
        <w:t xml:space="preserve"> </w:t>
      </w:r>
      <w:r w:rsidR="00183BFF" w:rsidRPr="00C579D1">
        <w:rPr>
          <w:lang w:val="fr-FR"/>
        </w:rPr>
        <w:t>et un</w:t>
      </w:r>
      <w:r w:rsidR="00BC56C0" w:rsidRPr="00C579D1">
        <w:rPr>
          <w:lang w:val="fr-FR"/>
        </w:rPr>
        <w:t xml:space="preserve"> </w:t>
      </w:r>
      <w:r w:rsidR="00183BFF" w:rsidRPr="00C579D1">
        <w:rPr>
          <w:lang w:val="fr-FR"/>
        </w:rPr>
        <w:t>projet de rapport</w:t>
      </w:r>
      <w:r w:rsidR="00C74595" w:rsidRPr="00C579D1">
        <w:rPr>
          <w:lang w:val="fr-FR"/>
        </w:rPr>
        <w:t xml:space="preserve"> comprenant un résumé analytique à l’intention des décideurs des États membres de l’Organisation des Nations Unies sera présenté lors de la Semaine mondiale de l’eau </w:t>
      </w:r>
      <w:r w:rsidR="006C4C5E" w:rsidRPr="00C579D1">
        <w:rPr>
          <w:lang w:val="fr-FR"/>
        </w:rPr>
        <w:t>2016</w:t>
      </w:r>
      <w:r w:rsidR="00C15BFC" w:rsidRPr="00C579D1">
        <w:rPr>
          <w:lang w:val="fr-FR"/>
        </w:rPr>
        <w:t xml:space="preserve"> </w:t>
      </w:r>
      <w:r w:rsidR="00C74595" w:rsidRPr="00C579D1">
        <w:rPr>
          <w:lang w:val="fr-FR"/>
        </w:rPr>
        <w:t>organisée à</w:t>
      </w:r>
      <w:r w:rsidR="00C15BFC" w:rsidRPr="00C579D1">
        <w:rPr>
          <w:lang w:val="fr-FR"/>
        </w:rPr>
        <w:t xml:space="preserve"> Stockholm (</w:t>
      </w:r>
      <w:r w:rsidR="00C74595" w:rsidRPr="00C579D1">
        <w:rPr>
          <w:lang w:val="fr-FR"/>
        </w:rPr>
        <w:t>voir le</w:t>
      </w:r>
      <w:r w:rsidR="00C15BFC" w:rsidRPr="00C579D1">
        <w:rPr>
          <w:lang w:val="fr-FR"/>
        </w:rPr>
        <w:t xml:space="preserve"> </w:t>
      </w:r>
      <w:r w:rsidR="00C74595" w:rsidRPr="00C579D1">
        <w:rPr>
          <w:lang w:val="fr-FR"/>
        </w:rPr>
        <w:t>rapport du Directeur exécutif sur la résolution </w:t>
      </w:r>
      <w:r w:rsidR="00220B86" w:rsidRPr="00C579D1">
        <w:rPr>
          <w:lang w:val="fr-FR"/>
        </w:rPr>
        <w:t>1/9</w:t>
      </w:r>
      <w:r w:rsidR="00C74595" w:rsidRPr="00C579D1">
        <w:rPr>
          <w:lang w:val="fr-FR"/>
        </w:rPr>
        <w:t> </w:t>
      </w:r>
      <w:r w:rsidR="00220B86" w:rsidRPr="00C579D1">
        <w:rPr>
          <w:lang w:val="fr-FR"/>
        </w:rPr>
        <w:t xml:space="preserve">: </w:t>
      </w:r>
      <w:r w:rsidR="00E85EB1">
        <w:rPr>
          <w:lang w:val="fr-FR"/>
        </w:rPr>
        <w:t>S</w:t>
      </w:r>
      <w:r w:rsidR="00117950" w:rsidRPr="00C579D1">
        <w:rPr>
          <w:lang w:val="fr-FR"/>
        </w:rPr>
        <w:t>ystème mondial de surveillance continue de l’environnement</w:t>
      </w:r>
      <w:r w:rsidR="00220B86" w:rsidRPr="00C579D1">
        <w:rPr>
          <w:lang w:val="fr-FR"/>
        </w:rPr>
        <w:t>/</w:t>
      </w:r>
      <w:r w:rsidR="00117950" w:rsidRPr="00C579D1">
        <w:rPr>
          <w:lang w:val="fr-FR"/>
        </w:rPr>
        <w:t xml:space="preserve"> Programme sur l’eau (GEMS/Eau</w:t>
      </w:r>
      <w:r w:rsidR="00220B86" w:rsidRPr="00C579D1">
        <w:rPr>
          <w:lang w:val="fr-FR"/>
        </w:rPr>
        <w:t>)</w:t>
      </w:r>
      <w:r w:rsidR="00F07083" w:rsidRPr="00C579D1">
        <w:rPr>
          <w:lang w:val="fr-FR"/>
        </w:rPr>
        <w:t xml:space="preserve"> </w:t>
      </w:r>
      <w:r w:rsidR="00220B86" w:rsidRPr="00C579D1">
        <w:rPr>
          <w:lang w:val="fr-FR"/>
        </w:rPr>
        <w:t>(</w:t>
      </w:r>
      <w:r w:rsidR="006C4C5E" w:rsidRPr="00C579D1">
        <w:rPr>
          <w:lang w:val="fr-FR"/>
        </w:rPr>
        <w:t>UNE</w:t>
      </w:r>
      <w:r w:rsidR="00220B86" w:rsidRPr="00C579D1">
        <w:rPr>
          <w:lang w:val="fr-FR"/>
        </w:rPr>
        <w:t>P</w:t>
      </w:r>
      <w:r w:rsidR="006C4C5E" w:rsidRPr="00C579D1">
        <w:rPr>
          <w:lang w:val="fr-FR"/>
        </w:rPr>
        <w:t>/EA.2/</w:t>
      </w:r>
      <w:r w:rsidR="00511D28">
        <w:rPr>
          <w:lang w:val="fr-FR"/>
        </w:rPr>
        <w:t>8</w:t>
      </w:r>
      <w:r w:rsidR="00220B86" w:rsidRPr="00C579D1">
        <w:rPr>
          <w:lang w:val="fr-FR"/>
        </w:rPr>
        <w:t>)</w:t>
      </w:r>
      <w:r w:rsidR="00F07083" w:rsidRPr="00C579D1">
        <w:rPr>
          <w:lang w:val="fr-FR"/>
        </w:rPr>
        <w:t xml:space="preserve">. </w:t>
      </w:r>
    </w:p>
    <w:p w:rsidR="006C4C5E" w:rsidRPr="00C579D1" w:rsidRDefault="00117950" w:rsidP="00541B0D">
      <w:pPr>
        <w:pStyle w:val="Normalnumber"/>
        <w:tabs>
          <w:tab w:val="clear" w:pos="967"/>
          <w:tab w:val="clear" w:pos="1247"/>
          <w:tab w:val="clear" w:pos="1871"/>
          <w:tab w:val="left" w:pos="1843"/>
        </w:tabs>
        <w:ind w:left="1260"/>
        <w:rPr>
          <w:lang w:val="fr-FR"/>
        </w:rPr>
      </w:pPr>
      <w:r w:rsidRPr="00C579D1">
        <w:rPr>
          <w:lang w:val="fr-FR"/>
        </w:rPr>
        <w:t>La</w:t>
      </w:r>
      <w:r w:rsidR="006C4C5E" w:rsidRPr="00C579D1">
        <w:rPr>
          <w:lang w:val="fr-FR"/>
        </w:rPr>
        <w:t xml:space="preserve"> </w:t>
      </w:r>
      <w:r w:rsidRPr="00C579D1">
        <w:rPr>
          <w:lang w:val="fr-FR"/>
        </w:rPr>
        <w:t xml:space="preserve">première évaluation mondiale </w:t>
      </w:r>
      <w:r w:rsidR="00DD55FD" w:rsidRPr="00C579D1">
        <w:rPr>
          <w:lang w:val="fr-FR"/>
        </w:rPr>
        <w:t xml:space="preserve">des océans </w:t>
      </w:r>
      <w:r w:rsidRPr="00C579D1">
        <w:rPr>
          <w:lang w:val="fr-FR"/>
        </w:rPr>
        <w:t>des</w:t>
      </w:r>
      <w:r w:rsidR="00C15BFC" w:rsidRPr="00C579D1">
        <w:rPr>
          <w:lang w:val="fr-FR"/>
        </w:rPr>
        <w:t xml:space="preserve"> Nations</w:t>
      </w:r>
      <w:r w:rsidRPr="00C579D1">
        <w:rPr>
          <w:lang w:val="fr-FR"/>
        </w:rPr>
        <w:t> Unies</w:t>
      </w:r>
      <w:r w:rsidR="000F5A52" w:rsidRPr="00C579D1">
        <w:rPr>
          <w:lang w:val="fr-FR"/>
        </w:rPr>
        <w:t xml:space="preserve"> ainsi que</w:t>
      </w:r>
      <w:r w:rsidRPr="00C579D1">
        <w:rPr>
          <w:lang w:val="fr-FR"/>
        </w:rPr>
        <w:t xml:space="preserve"> son résumé</w:t>
      </w:r>
      <w:r w:rsidR="000F5A52" w:rsidRPr="00C579D1">
        <w:rPr>
          <w:lang w:val="fr-FR"/>
        </w:rPr>
        <w:t xml:space="preserve"> ont</w:t>
      </w:r>
      <w:r w:rsidRPr="00C579D1">
        <w:rPr>
          <w:lang w:val="fr-FR"/>
        </w:rPr>
        <w:t xml:space="preserve"> été approuvé</w:t>
      </w:r>
      <w:r w:rsidR="000F5A52" w:rsidRPr="00C579D1">
        <w:rPr>
          <w:lang w:val="fr-FR"/>
        </w:rPr>
        <w:t>s</w:t>
      </w:r>
      <w:r w:rsidRPr="00C579D1">
        <w:rPr>
          <w:lang w:val="fr-FR"/>
        </w:rPr>
        <w:t xml:space="preserve"> en septembre 2015 par</w:t>
      </w:r>
      <w:r w:rsidR="006C4C5E" w:rsidRPr="00C579D1">
        <w:rPr>
          <w:lang w:val="fr-FR"/>
        </w:rPr>
        <w:t xml:space="preserve"> </w:t>
      </w:r>
      <w:r w:rsidRPr="00C579D1">
        <w:rPr>
          <w:lang w:val="fr-FR"/>
        </w:rPr>
        <w:t>le Groupe de travail spécial plénier sur le Mécanisme de notification et d’évaluation systématiques à l’échelle mondiale de l’état du milieu marin, y compris les aspects socioéconomiques</w:t>
      </w:r>
      <w:r w:rsidR="006C4C5E" w:rsidRPr="00C579D1">
        <w:rPr>
          <w:lang w:val="fr-FR"/>
        </w:rPr>
        <w:t>.</w:t>
      </w:r>
      <w:r w:rsidRPr="00C579D1">
        <w:rPr>
          <w:lang w:val="fr-FR"/>
        </w:rPr>
        <w:t xml:space="preserve"> Dix thèmes ont été repris dans le résumé </w:t>
      </w:r>
      <w:r w:rsidR="006C4C5E" w:rsidRPr="00C579D1">
        <w:rPr>
          <w:lang w:val="fr-FR"/>
        </w:rPr>
        <w:t xml:space="preserve">: </w:t>
      </w:r>
      <w:r w:rsidRPr="00C579D1">
        <w:rPr>
          <w:lang w:val="fr-FR"/>
        </w:rPr>
        <w:t>conséquences sur le milieu marin des changements climatiques et des modifications qu’ils entraînent dans l’atmosphère</w:t>
      </w:r>
      <w:r w:rsidR="006C4C5E" w:rsidRPr="00C579D1">
        <w:rPr>
          <w:lang w:val="fr-FR"/>
        </w:rPr>
        <w:t xml:space="preserve">; </w:t>
      </w:r>
      <w:r w:rsidRPr="00C579D1">
        <w:rPr>
          <w:lang w:val="fr-FR"/>
        </w:rPr>
        <w:t>menaces pesant sur</w:t>
      </w:r>
      <w:r w:rsidR="00171AE1" w:rsidRPr="00C579D1">
        <w:rPr>
          <w:lang w:val="fr-FR"/>
        </w:rPr>
        <w:t xml:space="preserve"> les </w:t>
      </w:r>
      <w:r w:rsidR="00E85EB1">
        <w:rPr>
          <w:lang w:val="fr-FR"/>
        </w:rPr>
        <w:t>biotes</w:t>
      </w:r>
      <w:r w:rsidR="00171AE1" w:rsidRPr="00C579D1">
        <w:rPr>
          <w:lang w:val="fr-FR"/>
        </w:rPr>
        <w:t xml:space="preserve"> marins</w:t>
      </w:r>
      <w:r w:rsidR="006C4C5E" w:rsidRPr="00C579D1">
        <w:rPr>
          <w:lang w:val="fr-FR"/>
        </w:rPr>
        <w:t>;</w:t>
      </w:r>
      <w:r w:rsidR="00C15BFC" w:rsidRPr="00C579D1">
        <w:rPr>
          <w:lang w:val="fr-FR"/>
        </w:rPr>
        <w:t xml:space="preserve"> </w:t>
      </w:r>
      <w:r w:rsidR="00171AE1" w:rsidRPr="00C579D1">
        <w:rPr>
          <w:lang w:val="fr-FR"/>
        </w:rPr>
        <w:t>sécurité alimentaire et sécurité sanitaire des aliments</w:t>
      </w:r>
      <w:r w:rsidR="006C4C5E" w:rsidRPr="00C579D1">
        <w:rPr>
          <w:lang w:val="fr-FR"/>
        </w:rPr>
        <w:t>;</w:t>
      </w:r>
      <w:r w:rsidR="00C15BFC" w:rsidRPr="00C579D1">
        <w:rPr>
          <w:lang w:val="fr-FR"/>
        </w:rPr>
        <w:t xml:space="preserve"> </w:t>
      </w:r>
      <w:r w:rsidR="000F5A52" w:rsidRPr="00C579D1">
        <w:rPr>
          <w:lang w:val="fr-FR"/>
        </w:rPr>
        <w:t xml:space="preserve">zones </w:t>
      </w:r>
      <w:r w:rsidR="00DD55FD" w:rsidRPr="00C579D1">
        <w:rPr>
          <w:lang w:val="fr-FR"/>
        </w:rPr>
        <w:t xml:space="preserve">écologiquement riches qui attirent </w:t>
      </w:r>
      <w:r w:rsidR="00171AE1" w:rsidRPr="00C579D1">
        <w:rPr>
          <w:lang w:val="fr-FR"/>
        </w:rPr>
        <w:t>les activités humaines</w:t>
      </w:r>
      <w:r w:rsidR="006C4C5E" w:rsidRPr="00C579D1">
        <w:rPr>
          <w:lang w:val="fr-FR"/>
        </w:rPr>
        <w:t>;</w:t>
      </w:r>
      <w:r w:rsidR="00171AE1" w:rsidRPr="00C579D1">
        <w:rPr>
          <w:lang w:val="fr-FR"/>
        </w:rPr>
        <w:t xml:space="preserve"> </w:t>
      </w:r>
      <w:r w:rsidR="00DD55FD" w:rsidRPr="00C579D1">
        <w:rPr>
          <w:lang w:val="fr-FR"/>
        </w:rPr>
        <w:t xml:space="preserve">revendications </w:t>
      </w:r>
      <w:r w:rsidR="00171AE1" w:rsidRPr="00C579D1">
        <w:rPr>
          <w:lang w:val="fr-FR"/>
        </w:rPr>
        <w:t xml:space="preserve">accrues et concurrentes </w:t>
      </w:r>
      <w:r w:rsidR="00DD55FD" w:rsidRPr="00C579D1">
        <w:rPr>
          <w:lang w:val="fr-FR"/>
        </w:rPr>
        <w:t xml:space="preserve">de </w:t>
      </w:r>
      <w:r w:rsidR="00171AE1" w:rsidRPr="00C579D1">
        <w:rPr>
          <w:lang w:val="fr-FR"/>
        </w:rPr>
        <w:t xml:space="preserve">l’espace </w:t>
      </w:r>
      <w:r w:rsidR="00DD55FD" w:rsidRPr="00C579D1">
        <w:rPr>
          <w:lang w:val="fr-FR"/>
        </w:rPr>
        <w:t>océanique</w:t>
      </w:r>
      <w:r w:rsidR="006C4C5E" w:rsidRPr="00C579D1">
        <w:rPr>
          <w:lang w:val="fr-FR"/>
        </w:rPr>
        <w:t xml:space="preserve">; </w:t>
      </w:r>
      <w:r w:rsidR="00543465" w:rsidRPr="00C579D1">
        <w:rPr>
          <w:lang w:val="fr-FR"/>
        </w:rPr>
        <w:t xml:space="preserve">augmentation des apports de </w:t>
      </w:r>
      <w:r w:rsidR="00DD55FD" w:rsidRPr="00C579D1">
        <w:rPr>
          <w:lang w:val="fr-FR"/>
        </w:rPr>
        <w:t xml:space="preserve">matières </w:t>
      </w:r>
      <w:r w:rsidR="00543465" w:rsidRPr="00C579D1">
        <w:rPr>
          <w:lang w:val="fr-FR"/>
        </w:rPr>
        <w:t>nocives</w:t>
      </w:r>
      <w:r w:rsidR="006C4C5E" w:rsidRPr="00C579D1">
        <w:rPr>
          <w:lang w:val="fr-FR"/>
        </w:rPr>
        <w:t xml:space="preserve">; </w:t>
      </w:r>
      <w:r w:rsidR="00543465" w:rsidRPr="00C579D1">
        <w:rPr>
          <w:lang w:val="fr-FR"/>
        </w:rPr>
        <w:t>incidences cumulées des activités humaines sur la biodiversité marine</w:t>
      </w:r>
      <w:r w:rsidR="006C4C5E" w:rsidRPr="00C579D1">
        <w:rPr>
          <w:lang w:val="fr-FR"/>
        </w:rPr>
        <w:t xml:space="preserve">; </w:t>
      </w:r>
      <w:r w:rsidR="00543465" w:rsidRPr="00C579D1">
        <w:rPr>
          <w:lang w:val="fr-FR"/>
        </w:rPr>
        <w:t xml:space="preserve">répartition </w:t>
      </w:r>
      <w:r w:rsidR="00E85EB1">
        <w:rPr>
          <w:lang w:val="fr-FR"/>
        </w:rPr>
        <w:t xml:space="preserve">inégale </w:t>
      </w:r>
      <w:r w:rsidR="00543465" w:rsidRPr="00C579D1">
        <w:rPr>
          <w:lang w:val="fr-FR"/>
        </w:rPr>
        <w:t>des avantages et des inconvénients liés à l’activité de l’homme dans le milieu marin</w:t>
      </w:r>
      <w:r w:rsidR="006C4C5E" w:rsidRPr="00C579D1">
        <w:rPr>
          <w:lang w:val="fr-FR"/>
        </w:rPr>
        <w:t xml:space="preserve">; </w:t>
      </w:r>
      <w:r w:rsidR="00543465" w:rsidRPr="00C579D1">
        <w:rPr>
          <w:lang w:val="fr-FR"/>
        </w:rPr>
        <w:t>gestion intégrée des activités humaines ayant des incidences sur le milieu marin</w:t>
      </w:r>
      <w:r w:rsidR="006C4C5E" w:rsidRPr="00C579D1">
        <w:rPr>
          <w:lang w:val="fr-FR"/>
        </w:rPr>
        <w:t xml:space="preserve">; </w:t>
      </w:r>
      <w:r w:rsidR="00543465" w:rsidRPr="00C579D1">
        <w:rPr>
          <w:lang w:val="fr-FR"/>
        </w:rPr>
        <w:t>et</w:t>
      </w:r>
      <w:r w:rsidR="006C4C5E" w:rsidRPr="00C579D1">
        <w:rPr>
          <w:lang w:val="fr-FR"/>
        </w:rPr>
        <w:t xml:space="preserve"> </w:t>
      </w:r>
      <w:r w:rsidR="00543465" w:rsidRPr="00C579D1">
        <w:rPr>
          <w:lang w:val="fr-FR"/>
        </w:rPr>
        <w:t xml:space="preserve">l’urgence qu’il y a à s’attaquer aux menaces pesant sur </w:t>
      </w:r>
      <w:r w:rsidR="00DD55FD" w:rsidRPr="00C579D1">
        <w:rPr>
          <w:lang w:val="fr-FR"/>
        </w:rPr>
        <w:t>les océans</w:t>
      </w:r>
      <w:r w:rsidR="006C4C5E" w:rsidRPr="00C579D1">
        <w:rPr>
          <w:lang w:val="fr-FR"/>
        </w:rPr>
        <w:t xml:space="preserve">. </w:t>
      </w:r>
      <w:r w:rsidR="00543465" w:rsidRPr="00C579D1">
        <w:rPr>
          <w:lang w:val="fr-FR"/>
        </w:rPr>
        <w:t xml:space="preserve">Le PNUE a fourni un appui scientifique et technique, y compris des ressources financières, pour l’organisation d’ateliers de renforcement des capacités </w:t>
      </w:r>
      <w:r w:rsidR="008D59BC" w:rsidRPr="00C579D1">
        <w:rPr>
          <w:lang w:val="fr-FR"/>
        </w:rPr>
        <w:t>dans le cadre du</w:t>
      </w:r>
      <w:r w:rsidR="00E00B64" w:rsidRPr="00C579D1" w:rsidDel="00BC56C0">
        <w:rPr>
          <w:lang w:val="fr-FR"/>
        </w:rPr>
        <w:t xml:space="preserve"> </w:t>
      </w:r>
      <w:r w:rsidR="008D59BC" w:rsidRPr="00C579D1">
        <w:rPr>
          <w:lang w:val="fr-FR"/>
        </w:rPr>
        <w:t>Programme pour les mers régionales et le Groupe de travail spécial plénier a approuvé une deuxième phase du processus, qui doit commencer en 2016</w:t>
      </w:r>
      <w:r w:rsidR="006C4C5E" w:rsidRPr="00C579D1">
        <w:rPr>
          <w:lang w:val="fr-FR"/>
        </w:rPr>
        <w:t>.</w:t>
      </w:r>
      <w:r w:rsidR="00C15BFC" w:rsidRPr="00C579D1">
        <w:rPr>
          <w:rStyle w:val="FootnoteReference"/>
          <w:lang w:val="fr-FR"/>
        </w:rPr>
        <w:footnoteReference w:id="5"/>
      </w:r>
    </w:p>
    <w:p w:rsidR="006C4C5E" w:rsidRPr="00C579D1" w:rsidRDefault="00C634AA" w:rsidP="00FA789D">
      <w:pPr>
        <w:pStyle w:val="CH3"/>
        <w:rPr>
          <w:lang w:val="fr-FR"/>
        </w:rPr>
      </w:pPr>
      <w:r w:rsidRPr="00C579D1">
        <w:rPr>
          <w:lang w:val="fr-FR"/>
        </w:rPr>
        <w:tab/>
      </w:r>
      <w:r w:rsidR="00763469" w:rsidRPr="00C579D1">
        <w:rPr>
          <w:lang w:val="fr-FR"/>
        </w:rPr>
        <w:t>4.</w:t>
      </w:r>
      <w:r w:rsidRPr="00C579D1">
        <w:rPr>
          <w:lang w:val="fr-FR"/>
        </w:rPr>
        <w:tab/>
      </w:r>
      <w:r w:rsidR="006C4C5E" w:rsidRPr="00C579D1">
        <w:rPr>
          <w:lang w:val="fr-FR"/>
        </w:rPr>
        <w:t>Biodiversit</w:t>
      </w:r>
      <w:r w:rsidR="000D469C" w:rsidRPr="00C579D1">
        <w:rPr>
          <w:lang w:val="fr-FR"/>
        </w:rPr>
        <w:t>é</w:t>
      </w:r>
      <w:r w:rsidR="006C4C5E" w:rsidRPr="00C579D1">
        <w:rPr>
          <w:lang w:val="fr-FR"/>
        </w:rPr>
        <w:t xml:space="preserve"> </w:t>
      </w:r>
      <w:r w:rsidR="000D469C" w:rsidRPr="00C579D1">
        <w:rPr>
          <w:lang w:val="fr-FR"/>
        </w:rPr>
        <w:t>et</w:t>
      </w:r>
      <w:r w:rsidR="006C4C5E" w:rsidRPr="00C579D1">
        <w:rPr>
          <w:lang w:val="fr-FR"/>
        </w:rPr>
        <w:t xml:space="preserve"> </w:t>
      </w:r>
      <w:r w:rsidR="00C15BFC" w:rsidRPr="00C579D1">
        <w:rPr>
          <w:lang w:val="fr-FR"/>
        </w:rPr>
        <w:t>s</w:t>
      </w:r>
      <w:r w:rsidR="006C4C5E" w:rsidRPr="00C579D1">
        <w:rPr>
          <w:lang w:val="fr-FR"/>
        </w:rPr>
        <w:t>ervices</w:t>
      </w:r>
      <w:r w:rsidR="000D469C" w:rsidRPr="00C579D1">
        <w:rPr>
          <w:lang w:val="fr-FR"/>
        </w:rPr>
        <w:t xml:space="preserve"> écosystémiques</w:t>
      </w:r>
    </w:p>
    <w:p w:rsidR="006C4C5E" w:rsidRPr="00C579D1" w:rsidRDefault="000D469C" w:rsidP="00541B0D">
      <w:pPr>
        <w:pStyle w:val="Normalnumber"/>
        <w:tabs>
          <w:tab w:val="clear" w:pos="967"/>
          <w:tab w:val="clear" w:pos="1247"/>
          <w:tab w:val="clear" w:pos="1871"/>
          <w:tab w:val="left" w:pos="1843"/>
        </w:tabs>
        <w:ind w:left="1260"/>
        <w:rPr>
          <w:lang w:val="fr-FR"/>
        </w:rPr>
      </w:pPr>
      <w:r w:rsidRPr="00C579D1">
        <w:rPr>
          <w:lang w:val="fr-FR"/>
        </w:rPr>
        <w:t>La</w:t>
      </w:r>
      <w:r w:rsidR="00C15BFC" w:rsidRPr="00C579D1">
        <w:rPr>
          <w:lang w:val="fr-FR"/>
        </w:rPr>
        <w:t xml:space="preserve"> </w:t>
      </w:r>
      <w:r w:rsidRPr="00C579D1">
        <w:rPr>
          <w:lang w:val="fr-FR"/>
        </w:rPr>
        <w:t>Plateforme intergouvernementale scientifique et politique sur la biodiversité et les services écosystémiques entreprend</w:t>
      </w:r>
      <w:r w:rsidR="00C15BFC" w:rsidRPr="00C579D1">
        <w:rPr>
          <w:lang w:val="fr-FR"/>
        </w:rPr>
        <w:t xml:space="preserve">, </w:t>
      </w:r>
      <w:r w:rsidRPr="00C579D1">
        <w:rPr>
          <w:lang w:val="fr-FR"/>
        </w:rPr>
        <w:t>dans le cadre de son programme de travail pour</w:t>
      </w:r>
      <w:r w:rsidR="00DD55FD" w:rsidRPr="00C579D1">
        <w:rPr>
          <w:lang w:val="fr-FR"/>
        </w:rPr>
        <w:t xml:space="preserve"> 2014-</w:t>
      </w:r>
      <w:r w:rsidR="00C15BFC" w:rsidRPr="00C579D1">
        <w:rPr>
          <w:lang w:val="fr-FR"/>
        </w:rPr>
        <w:t xml:space="preserve">2018 </w:t>
      </w:r>
      <w:r w:rsidR="006C4C5E" w:rsidRPr="00C579D1">
        <w:rPr>
          <w:lang w:val="fr-FR"/>
        </w:rPr>
        <w:t>(</w:t>
      </w:r>
      <w:r w:rsidR="00C15BFC" w:rsidRPr="00C579D1">
        <w:rPr>
          <w:lang w:val="fr-FR"/>
        </w:rPr>
        <w:t>d</w:t>
      </w:r>
      <w:r w:rsidRPr="00C579D1">
        <w:rPr>
          <w:lang w:val="fr-FR"/>
        </w:rPr>
        <w:t>é</w:t>
      </w:r>
      <w:r w:rsidR="00C15BFC" w:rsidRPr="00C579D1">
        <w:rPr>
          <w:lang w:val="fr-FR"/>
        </w:rPr>
        <w:t>cision</w:t>
      </w:r>
      <w:r w:rsidRPr="00C579D1">
        <w:rPr>
          <w:lang w:val="fr-FR"/>
        </w:rPr>
        <w:t> </w:t>
      </w:r>
      <w:r w:rsidR="006C4C5E" w:rsidRPr="00C579D1">
        <w:rPr>
          <w:lang w:val="fr-FR"/>
        </w:rPr>
        <w:t>IPBES-3/1)</w:t>
      </w:r>
      <w:r w:rsidR="00C15BFC" w:rsidRPr="00C579D1">
        <w:rPr>
          <w:lang w:val="fr-FR"/>
        </w:rPr>
        <w:t>,</w:t>
      </w:r>
      <w:r w:rsidR="006C4C5E" w:rsidRPr="00C579D1">
        <w:rPr>
          <w:lang w:val="fr-FR"/>
        </w:rPr>
        <w:t xml:space="preserve"> </w:t>
      </w:r>
      <w:r w:rsidRPr="00C579D1">
        <w:rPr>
          <w:lang w:val="fr-FR"/>
        </w:rPr>
        <w:t>quatre évaluations régionales et sous-régionales pour l’Afrique, les Amériques, l’Asie et le Pacifique et l’Europe et l’Asie centrale</w:t>
      </w:r>
      <w:r w:rsidR="00C15BFC" w:rsidRPr="00C579D1">
        <w:rPr>
          <w:lang w:val="fr-FR"/>
        </w:rPr>
        <w:t>,</w:t>
      </w:r>
      <w:r w:rsidRPr="00C579D1">
        <w:rPr>
          <w:lang w:val="fr-FR"/>
        </w:rPr>
        <w:t xml:space="preserve"> ainsi qu’une évaluation thématique</w:t>
      </w:r>
      <w:r w:rsidR="006C4C5E" w:rsidRPr="00C579D1">
        <w:rPr>
          <w:lang w:val="fr-FR"/>
        </w:rPr>
        <w:t xml:space="preserve"> </w:t>
      </w:r>
      <w:r w:rsidRPr="00C579D1">
        <w:rPr>
          <w:lang w:val="fr-FR"/>
        </w:rPr>
        <w:t>de la dégradation et la restauration des terres</w:t>
      </w:r>
      <w:r w:rsidR="006C4C5E" w:rsidRPr="00C579D1">
        <w:rPr>
          <w:lang w:val="fr-FR"/>
        </w:rPr>
        <w:t>.</w:t>
      </w:r>
      <w:r w:rsidRPr="00C579D1">
        <w:rPr>
          <w:lang w:val="fr-FR"/>
        </w:rPr>
        <w:t xml:space="preserve"> Les résultats des évaluations régionales </w:t>
      </w:r>
      <w:r w:rsidR="00DD55FD" w:rsidRPr="00C579D1">
        <w:rPr>
          <w:lang w:val="fr-FR"/>
        </w:rPr>
        <w:t xml:space="preserve">du rapport </w:t>
      </w:r>
      <w:r w:rsidR="00C475B9" w:rsidRPr="00C579D1">
        <w:rPr>
          <w:lang w:val="fr-FR"/>
        </w:rPr>
        <w:t xml:space="preserve">GEO-6 </w:t>
      </w:r>
      <w:r w:rsidRPr="00C579D1">
        <w:rPr>
          <w:lang w:val="fr-FR"/>
        </w:rPr>
        <w:t>sont utilisés par les experts de la Plateforme dans la réalisation de ces évaluations</w:t>
      </w:r>
      <w:r w:rsidR="006C4C5E" w:rsidRPr="00C579D1">
        <w:rPr>
          <w:lang w:val="fr-FR"/>
        </w:rPr>
        <w:t>.</w:t>
      </w:r>
    </w:p>
    <w:p w:rsidR="006C4C5E" w:rsidRPr="00C579D1" w:rsidRDefault="000D469C" w:rsidP="00541B0D">
      <w:pPr>
        <w:pStyle w:val="Normalnumber"/>
        <w:tabs>
          <w:tab w:val="clear" w:pos="967"/>
          <w:tab w:val="clear" w:pos="1247"/>
          <w:tab w:val="clear" w:pos="1871"/>
          <w:tab w:val="left" w:pos="1843"/>
        </w:tabs>
        <w:ind w:left="1260"/>
        <w:rPr>
          <w:lang w:val="fr-FR"/>
        </w:rPr>
      </w:pPr>
      <w:r w:rsidRPr="00C579D1">
        <w:rPr>
          <w:lang w:val="fr-FR"/>
        </w:rPr>
        <w:t>Deux autres évaluations</w:t>
      </w:r>
      <w:r w:rsidR="006E527C" w:rsidRPr="00C579D1">
        <w:rPr>
          <w:lang w:val="fr-FR"/>
        </w:rPr>
        <w:t xml:space="preserve">, accompagnées de résumés à l’intention des décideurs, </w:t>
      </w:r>
      <w:r w:rsidR="00007D1D" w:rsidRPr="00C579D1">
        <w:rPr>
          <w:lang w:val="fr-FR"/>
        </w:rPr>
        <w:t>concernant l</w:t>
      </w:r>
      <w:r w:rsidR="00DD55FD" w:rsidRPr="00C579D1">
        <w:rPr>
          <w:lang w:val="fr-FR"/>
        </w:rPr>
        <w:t xml:space="preserve">es pollinisateurs, la pollinisation et </w:t>
      </w:r>
      <w:r w:rsidR="006E527C" w:rsidRPr="00C579D1">
        <w:rPr>
          <w:lang w:val="fr-FR"/>
        </w:rPr>
        <w:t xml:space="preserve">la production alimentaire </w:t>
      </w:r>
      <w:r w:rsidR="00007D1D" w:rsidRPr="00C579D1">
        <w:rPr>
          <w:lang w:val="fr-FR"/>
        </w:rPr>
        <w:t>et concernant</w:t>
      </w:r>
      <w:r w:rsidR="006E527C" w:rsidRPr="00C579D1">
        <w:rPr>
          <w:lang w:val="fr-FR"/>
        </w:rPr>
        <w:t xml:space="preserve"> l’analyse de </w:t>
      </w:r>
      <w:r w:rsidR="003B1C72">
        <w:rPr>
          <w:lang w:val="fr-FR"/>
        </w:rPr>
        <w:t>scénarios et la </w:t>
      </w:r>
      <w:r w:rsidR="006E527C" w:rsidRPr="00C579D1">
        <w:rPr>
          <w:lang w:val="fr-FR"/>
        </w:rPr>
        <w:t xml:space="preserve">modélisation de la biodiversité et des services </w:t>
      </w:r>
      <w:proofErr w:type="spellStart"/>
      <w:r w:rsidR="006E527C" w:rsidRPr="00C579D1">
        <w:rPr>
          <w:lang w:val="fr-FR"/>
        </w:rPr>
        <w:t>écosystémiques</w:t>
      </w:r>
      <w:proofErr w:type="spellEnd"/>
      <w:r w:rsidR="006E527C" w:rsidRPr="00C579D1">
        <w:rPr>
          <w:lang w:val="fr-FR"/>
        </w:rPr>
        <w:t xml:space="preserve"> </w:t>
      </w:r>
      <w:r w:rsidR="00944BA9">
        <w:rPr>
          <w:lang w:val="fr-FR"/>
        </w:rPr>
        <w:t>ont été</w:t>
      </w:r>
      <w:r w:rsidR="006E527C" w:rsidRPr="00C579D1">
        <w:rPr>
          <w:lang w:val="fr-FR"/>
        </w:rPr>
        <w:t xml:space="preserve"> présenté</w:t>
      </w:r>
      <w:r w:rsidR="001C657B" w:rsidRPr="00C579D1">
        <w:rPr>
          <w:lang w:val="fr-FR"/>
        </w:rPr>
        <w:t>e</w:t>
      </w:r>
      <w:r w:rsidR="003B1C72">
        <w:rPr>
          <w:lang w:val="fr-FR"/>
        </w:rPr>
        <w:t>s à la Plénière de la </w:t>
      </w:r>
      <w:r w:rsidR="006E527C" w:rsidRPr="00C579D1">
        <w:rPr>
          <w:lang w:val="fr-FR"/>
        </w:rPr>
        <w:t>Plateforme à sa quatrième </w:t>
      </w:r>
      <w:r w:rsidR="00DD55FD" w:rsidRPr="00C579D1">
        <w:rPr>
          <w:lang w:val="fr-FR"/>
        </w:rPr>
        <w:t xml:space="preserve">session </w:t>
      </w:r>
      <w:r w:rsidR="006E527C" w:rsidRPr="00C579D1">
        <w:rPr>
          <w:lang w:val="fr-FR"/>
        </w:rPr>
        <w:t>en 2016, la première pour approbation et la deuxième pour acceptation</w:t>
      </w:r>
      <w:r w:rsidR="006C4C5E" w:rsidRPr="00C579D1">
        <w:rPr>
          <w:lang w:val="fr-FR"/>
        </w:rPr>
        <w:t xml:space="preserve">. </w:t>
      </w:r>
      <w:r w:rsidR="006E527C" w:rsidRPr="00C579D1">
        <w:rPr>
          <w:lang w:val="fr-FR"/>
        </w:rPr>
        <w:t>Ces évaluations et les</w:t>
      </w:r>
      <w:r w:rsidR="006C4C5E" w:rsidRPr="00C579D1">
        <w:rPr>
          <w:lang w:val="fr-FR"/>
        </w:rPr>
        <w:t xml:space="preserve"> </w:t>
      </w:r>
      <w:r w:rsidR="006E527C" w:rsidRPr="00C579D1">
        <w:rPr>
          <w:lang w:val="fr-FR"/>
        </w:rPr>
        <w:t>directives concernant l’utilisation des connaissances traditionnelles et autochtones seront reprises dans les</w:t>
      </w:r>
      <w:r w:rsidR="00061A9D" w:rsidRPr="00C579D1">
        <w:rPr>
          <w:lang w:val="fr-FR"/>
        </w:rPr>
        <w:t xml:space="preserve"> directives du PNUE concernant les évaluations et utilisées dans la réalisation des évaluations </w:t>
      </w:r>
      <w:r w:rsidR="00602867" w:rsidRPr="00C579D1">
        <w:rPr>
          <w:lang w:val="fr-FR"/>
        </w:rPr>
        <w:t xml:space="preserve">du rapport </w:t>
      </w:r>
      <w:r w:rsidR="006C4C5E" w:rsidRPr="00C579D1">
        <w:rPr>
          <w:lang w:val="fr-FR"/>
        </w:rPr>
        <w:t>GEO</w:t>
      </w:r>
      <w:r w:rsidR="00C15BFC" w:rsidRPr="00C579D1">
        <w:rPr>
          <w:lang w:val="fr-FR"/>
        </w:rPr>
        <w:t>-</w:t>
      </w:r>
      <w:r w:rsidR="006C4C5E" w:rsidRPr="00C579D1">
        <w:rPr>
          <w:lang w:val="fr-FR"/>
        </w:rPr>
        <w:t>6.</w:t>
      </w:r>
    </w:p>
    <w:p w:rsidR="006C4C5E" w:rsidRPr="00C579D1" w:rsidRDefault="00061A9D" w:rsidP="00541B0D">
      <w:pPr>
        <w:pStyle w:val="Normalnumber"/>
        <w:tabs>
          <w:tab w:val="clear" w:pos="967"/>
          <w:tab w:val="clear" w:pos="1247"/>
          <w:tab w:val="clear" w:pos="1871"/>
          <w:tab w:val="left" w:pos="1843"/>
        </w:tabs>
        <w:ind w:left="1260"/>
        <w:rPr>
          <w:lang w:val="fr-FR"/>
        </w:rPr>
      </w:pPr>
      <w:r w:rsidRPr="00C579D1">
        <w:rPr>
          <w:lang w:val="fr-FR"/>
        </w:rPr>
        <w:t>La Plateforme intergouvernementale réalise également des études de cadrage pour trois évaluations futures, à savoir une</w:t>
      </w:r>
      <w:r w:rsidR="00C15BFC" w:rsidRPr="00C579D1">
        <w:rPr>
          <w:lang w:val="fr-FR"/>
        </w:rPr>
        <w:t xml:space="preserve"> </w:t>
      </w:r>
      <w:r w:rsidRPr="00C579D1">
        <w:rPr>
          <w:lang w:val="fr-FR"/>
        </w:rPr>
        <w:t xml:space="preserve">évaluation mondiale de la biodiversité et des services écosystémiques </w:t>
      </w:r>
      <w:r w:rsidR="001C657B" w:rsidRPr="00C579D1">
        <w:rPr>
          <w:lang w:val="fr-FR"/>
        </w:rPr>
        <w:t>ainsi que</w:t>
      </w:r>
      <w:r w:rsidRPr="00C579D1">
        <w:rPr>
          <w:lang w:val="fr-FR"/>
        </w:rPr>
        <w:t xml:space="preserve"> des évaluations thématiques</w:t>
      </w:r>
      <w:r w:rsidR="00C15BFC" w:rsidRPr="00C579D1">
        <w:rPr>
          <w:lang w:val="fr-FR"/>
        </w:rPr>
        <w:t xml:space="preserve"> </w:t>
      </w:r>
      <w:r w:rsidRPr="00C579D1">
        <w:rPr>
          <w:lang w:val="fr-FR"/>
        </w:rPr>
        <w:t>des espèces exotiques envahissantes et de l’utilisation durable de la biodiversité</w:t>
      </w:r>
      <w:r w:rsidR="008705DE" w:rsidRPr="00C579D1">
        <w:rPr>
          <w:lang w:val="fr-FR"/>
        </w:rPr>
        <w:t>.</w:t>
      </w:r>
      <w:r w:rsidRPr="00C579D1">
        <w:rPr>
          <w:lang w:val="fr-FR"/>
        </w:rPr>
        <w:t xml:space="preserve"> De plus,</w:t>
      </w:r>
      <w:r w:rsidR="00C93983" w:rsidRPr="00C579D1">
        <w:rPr>
          <w:lang w:val="fr-FR"/>
        </w:rPr>
        <w:t xml:space="preserve"> elle envisage de réaliser une évaluation de la haute mer</w:t>
      </w:r>
      <w:r w:rsidR="006C4C5E" w:rsidRPr="00C579D1">
        <w:rPr>
          <w:lang w:val="fr-FR"/>
        </w:rPr>
        <w:t>.</w:t>
      </w:r>
    </w:p>
    <w:p w:rsidR="006C4C5E" w:rsidRPr="00C579D1" w:rsidRDefault="00C93983" w:rsidP="00541B0D">
      <w:pPr>
        <w:pStyle w:val="Normalnumber"/>
        <w:tabs>
          <w:tab w:val="clear" w:pos="967"/>
          <w:tab w:val="clear" w:pos="1247"/>
          <w:tab w:val="clear" w:pos="1871"/>
          <w:tab w:val="left" w:pos="1843"/>
        </w:tabs>
        <w:ind w:left="1260"/>
        <w:rPr>
          <w:lang w:val="fr-FR"/>
        </w:rPr>
      </w:pPr>
      <w:r w:rsidRPr="00C579D1">
        <w:rPr>
          <w:lang w:val="fr-FR"/>
        </w:rPr>
        <w:lastRenderedPageBreak/>
        <w:t>L’</w:t>
      </w:r>
      <w:r w:rsidR="00582BC0">
        <w:rPr>
          <w:lang w:val="fr-FR"/>
        </w:rPr>
        <w:t xml:space="preserve">initiative concernant </w:t>
      </w:r>
      <w:r w:rsidR="00602867" w:rsidRPr="00C579D1">
        <w:rPr>
          <w:lang w:val="fr-FR"/>
        </w:rPr>
        <w:t>l’é</w:t>
      </w:r>
      <w:r w:rsidRPr="00C579D1">
        <w:rPr>
          <w:lang w:val="fr-FR"/>
        </w:rPr>
        <w:t xml:space="preserve">conomie des écosystèmes et de la biodiversité </w:t>
      </w:r>
      <w:r w:rsidR="00602867" w:rsidRPr="00C579D1">
        <w:rPr>
          <w:lang w:val="fr-FR"/>
        </w:rPr>
        <w:t xml:space="preserve">(TEEB) s’inscrit </w:t>
      </w:r>
      <w:r w:rsidRPr="00C579D1">
        <w:rPr>
          <w:lang w:val="fr-FR"/>
        </w:rPr>
        <w:t xml:space="preserve">actuellement </w:t>
      </w:r>
      <w:r w:rsidR="00602867" w:rsidRPr="00C579D1">
        <w:rPr>
          <w:lang w:val="fr-FR"/>
        </w:rPr>
        <w:t xml:space="preserve">dans le cadre de </w:t>
      </w:r>
      <w:r w:rsidRPr="00C579D1">
        <w:rPr>
          <w:lang w:val="fr-FR"/>
        </w:rPr>
        <w:t>plusieurs évaluations thématiques</w:t>
      </w:r>
      <w:r w:rsidR="006C4C5E" w:rsidRPr="00C579D1">
        <w:rPr>
          <w:lang w:val="fr-FR"/>
        </w:rPr>
        <w:t xml:space="preserve">. </w:t>
      </w:r>
      <w:r w:rsidRPr="00C579D1">
        <w:rPr>
          <w:lang w:val="fr-FR"/>
        </w:rPr>
        <w:t>L</w:t>
      </w:r>
      <w:r w:rsidR="00582BC0">
        <w:rPr>
          <w:lang w:val="fr-FR"/>
        </w:rPr>
        <w:t xml:space="preserve">e </w:t>
      </w:r>
      <w:r w:rsidRPr="00C579D1">
        <w:rPr>
          <w:lang w:val="fr-FR"/>
        </w:rPr>
        <w:t>« </w:t>
      </w:r>
      <w:r w:rsidR="00582BC0">
        <w:rPr>
          <w:lang w:val="fr-FR"/>
        </w:rPr>
        <w:t>Rapport intérimaire sur l’é</w:t>
      </w:r>
      <w:r w:rsidRPr="00C579D1">
        <w:rPr>
          <w:lang w:val="fr-FR"/>
        </w:rPr>
        <w:t>conomie des écosystèmes et de la biodiversité pour l’agriculture et l’alimentation »</w:t>
      </w:r>
      <w:r w:rsidR="00511D28">
        <w:rPr>
          <w:rStyle w:val="FootnoteReference"/>
          <w:lang w:val="fr-FR"/>
        </w:rPr>
        <w:footnoteReference w:id="6"/>
      </w:r>
      <w:r w:rsidR="001C657B" w:rsidRPr="00C579D1">
        <w:rPr>
          <w:lang w:val="fr-FR"/>
        </w:rPr>
        <w:t>,</w:t>
      </w:r>
      <w:r w:rsidRPr="00C579D1">
        <w:rPr>
          <w:lang w:val="fr-FR"/>
        </w:rPr>
        <w:t xml:space="preserve"> </w:t>
      </w:r>
      <w:r w:rsidR="00582BC0">
        <w:rPr>
          <w:lang w:val="fr-FR"/>
        </w:rPr>
        <w:t xml:space="preserve">a été </w:t>
      </w:r>
      <w:r w:rsidRPr="00C579D1">
        <w:rPr>
          <w:lang w:val="fr-FR"/>
        </w:rPr>
        <w:t xml:space="preserve">présenté </w:t>
      </w:r>
      <w:r w:rsidR="00582BC0">
        <w:rPr>
          <w:lang w:val="fr-FR"/>
        </w:rPr>
        <w:t>en décembre</w:t>
      </w:r>
      <w:r w:rsidR="006802BD" w:rsidRPr="00C579D1">
        <w:rPr>
          <w:lang w:val="fr-FR"/>
        </w:rPr>
        <w:t xml:space="preserve"> 2015 </w:t>
      </w:r>
      <w:r w:rsidR="00582BC0">
        <w:rPr>
          <w:lang w:val="fr-FR"/>
        </w:rPr>
        <w:t>à Paris lors du Forum mondial sur les paysages organisé en marge de la Conférence des Parties à la Convention-cadre des Nations Unies sur les changements climatiques et</w:t>
      </w:r>
      <w:r w:rsidR="009F6454">
        <w:rPr>
          <w:lang w:val="fr-FR"/>
        </w:rPr>
        <w:t xml:space="preserve"> </w:t>
      </w:r>
      <w:r w:rsidR="006802BD" w:rsidRPr="00C579D1">
        <w:rPr>
          <w:lang w:val="fr-FR"/>
        </w:rPr>
        <w:t>vise à fournir une évaluation économique factuelle globale des différents systèmes « économie-agriculture-alimentation »</w:t>
      </w:r>
      <w:r w:rsidR="006C4C5E" w:rsidRPr="00C579D1">
        <w:rPr>
          <w:lang w:val="fr-FR"/>
        </w:rPr>
        <w:t>.</w:t>
      </w:r>
      <w:r w:rsidR="00ED3030" w:rsidRPr="00C579D1">
        <w:rPr>
          <w:lang w:val="fr-FR"/>
        </w:rPr>
        <w:t xml:space="preserve"> L’objectif est d’examiner les aspects complexes de l’agriculture, de l’économie, des services écosystémiques et de la biodiversité du point de vue des décideurs dans le cadre de l’interface science-politique, en particulier</w:t>
      </w:r>
      <w:r w:rsidR="0083122F" w:rsidRPr="00C579D1">
        <w:rPr>
          <w:lang w:val="fr-FR"/>
        </w:rPr>
        <w:t xml:space="preserve"> sous l’angle de la mise en œuvre des politiques</w:t>
      </w:r>
      <w:r w:rsidR="006C4C5E" w:rsidRPr="00C579D1">
        <w:rPr>
          <w:lang w:val="fr-FR"/>
        </w:rPr>
        <w:t xml:space="preserve">. </w:t>
      </w:r>
      <w:r w:rsidR="0083122F" w:rsidRPr="00C579D1">
        <w:rPr>
          <w:lang w:val="fr-FR"/>
        </w:rPr>
        <w:t xml:space="preserve">Le résultat souhaité est un changement politique éclairé </w:t>
      </w:r>
      <w:r w:rsidR="001C657B" w:rsidRPr="00C579D1">
        <w:rPr>
          <w:lang w:val="fr-FR"/>
        </w:rPr>
        <w:t>en vue d’un</w:t>
      </w:r>
      <w:r w:rsidR="0083122F" w:rsidRPr="00C579D1">
        <w:rPr>
          <w:lang w:val="fr-FR"/>
        </w:rPr>
        <w:t xml:space="preserve"> environnement plus sûr, équitable et durable tout au long de la chaîne de production alimentaire et agricole</w:t>
      </w:r>
      <w:r w:rsidR="006C4C5E" w:rsidRPr="00C579D1">
        <w:rPr>
          <w:lang w:val="fr-FR"/>
        </w:rPr>
        <w:t xml:space="preserve">. </w:t>
      </w:r>
    </w:p>
    <w:p w:rsidR="008F086F" w:rsidRPr="00C579D1" w:rsidRDefault="00480C2E" w:rsidP="00480C2E">
      <w:pPr>
        <w:pStyle w:val="CH3"/>
        <w:rPr>
          <w:lang w:val="fr-FR"/>
        </w:rPr>
      </w:pPr>
      <w:r w:rsidRPr="00C579D1">
        <w:rPr>
          <w:lang w:val="fr-FR"/>
        </w:rPr>
        <w:tab/>
      </w:r>
      <w:r w:rsidR="008F086F" w:rsidRPr="00C579D1">
        <w:rPr>
          <w:lang w:val="fr-FR"/>
        </w:rPr>
        <w:t>5.</w:t>
      </w:r>
      <w:r w:rsidR="008F086F" w:rsidRPr="00C579D1">
        <w:rPr>
          <w:lang w:val="fr-FR"/>
        </w:rPr>
        <w:tab/>
        <w:t>Produits chimiques, déchets et ressources naturelles</w:t>
      </w:r>
    </w:p>
    <w:p w:rsidR="006C4C5E" w:rsidRPr="00C579D1" w:rsidRDefault="008F086F" w:rsidP="00541B0D">
      <w:pPr>
        <w:pStyle w:val="Normalnumber"/>
        <w:tabs>
          <w:tab w:val="clear" w:pos="967"/>
          <w:tab w:val="clear" w:pos="1247"/>
          <w:tab w:val="clear" w:pos="1871"/>
          <w:tab w:val="left" w:pos="1843"/>
        </w:tabs>
        <w:ind w:left="1260"/>
        <w:rPr>
          <w:lang w:val="fr-FR"/>
        </w:rPr>
      </w:pPr>
      <w:r w:rsidRPr="00C579D1">
        <w:rPr>
          <w:lang w:val="fr-FR"/>
        </w:rPr>
        <w:t xml:space="preserve">Le Comité scientifique des Nations Unies pour l’étude des effets des rayonnements ionisants, dans son rapport de </w:t>
      </w:r>
      <w:hyperlink r:id="rId13" w:tgtFrame="_blank" w:history="1">
        <w:r w:rsidRPr="00C579D1">
          <w:rPr>
            <w:rStyle w:val="Hyperlink"/>
          </w:rPr>
          <w:t>2013 sur</w:t>
        </w:r>
      </w:hyperlink>
      <w:r w:rsidRPr="00C579D1">
        <w:rPr>
          <w:lang w:val="fr-FR"/>
        </w:rPr>
        <w:t xml:space="preserve"> la </w:t>
      </w:r>
      <w:proofErr w:type="spellStart"/>
      <w:r w:rsidRPr="00C579D1">
        <w:rPr>
          <w:lang w:val="fr-FR"/>
        </w:rPr>
        <w:t>radioexposition</w:t>
      </w:r>
      <w:proofErr w:type="spellEnd"/>
      <w:r w:rsidRPr="00C579D1">
        <w:rPr>
          <w:lang w:val="fr-FR"/>
        </w:rPr>
        <w:t xml:space="preserve"> de différents groupes de population à la suite de l’accident survenu à la centrale nucléaire de Fukushima-Daiichi en 2011, a évalué les effets de l’accident en termes de risques imputables aux rayonnements pour la santé humaine et l’environnement. Parmi les groupes de population examinés figuraient des résidents de la préfecture de Fukushima et d’autres préfectures du Japon ainsi que des travailleurs, des prestataires et des membres du personnel d’urgence travaillant sur </w:t>
      </w:r>
      <w:r w:rsidR="0079460C" w:rsidRPr="00C579D1">
        <w:rPr>
          <w:lang w:val="fr-FR"/>
        </w:rPr>
        <w:t>le</w:t>
      </w:r>
      <w:r w:rsidRPr="00C579D1">
        <w:rPr>
          <w:lang w:val="fr-FR"/>
        </w:rPr>
        <w:t xml:space="preserve"> site de l’accident</w:t>
      </w:r>
      <w:r w:rsidR="0079460C" w:rsidRPr="00C579D1">
        <w:rPr>
          <w:lang w:val="fr-FR"/>
        </w:rPr>
        <w:t xml:space="preserve"> ou autour de ce dernier</w:t>
      </w:r>
      <w:r w:rsidRPr="00C579D1">
        <w:rPr>
          <w:lang w:val="fr-FR"/>
        </w:rPr>
        <w:t xml:space="preserve">. L’évaluation environnementale portait sur les écosystèmes marins, d’eau douce et terrestres. Afin de se tenir au courant des nouvelles informations scientifiques qui ont été révélées depuis la </w:t>
      </w:r>
      <w:r w:rsidR="00602867" w:rsidRPr="00C579D1">
        <w:rPr>
          <w:lang w:val="fr-FR"/>
        </w:rPr>
        <w:t xml:space="preserve">parution </w:t>
      </w:r>
      <w:r w:rsidRPr="00C579D1">
        <w:rPr>
          <w:lang w:val="fr-FR"/>
        </w:rPr>
        <w:t>du rapport, le Comité a également publié un livre blanc destiné à orienter son futur programme de travail, intitulé « Évolutions depuis le rapport de 2013 de l’UNSCEAR sur les niveaux d’exposition aux rayonnements et leurs effets connexes résultant de l’accident nucléaire survenu après le violent séisme et le tsunami qui ont frappé l’est du Japon ».</w:t>
      </w:r>
      <w:r w:rsidR="00CB732D" w:rsidRPr="00C579D1">
        <w:rPr>
          <w:lang w:val="fr-FR"/>
        </w:rPr>
        <w:t xml:space="preserve"> </w:t>
      </w:r>
    </w:p>
    <w:p w:rsidR="006C4C5E" w:rsidRPr="00C579D1" w:rsidRDefault="00050859" w:rsidP="00541B0D">
      <w:pPr>
        <w:pStyle w:val="Normalnumber"/>
        <w:tabs>
          <w:tab w:val="clear" w:pos="967"/>
          <w:tab w:val="clear" w:pos="1247"/>
          <w:tab w:val="clear" w:pos="1871"/>
          <w:tab w:val="left" w:pos="1843"/>
        </w:tabs>
        <w:ind w:left="1260"/>
        <w:rPr>
          <w:lang w:val="fr-FR"/>
        </w:rPr>
      </w:pPr>
      <w:r w:rsidRPr="00C579D1">
        <w:rPr>
          <w:lang w:val="fr-FR"/>
        </w:rPr>
        <w:t xml:space="preserve">Le </w:t>
      </w:r>
      <w:r w:rsidR="0079460C" w:rsidRPr="00C579D1">
        <w:rPr>
          <w:lang w:val="fr-FR"/>
        </w:rPr>
        <w:t>rapport</w:t>
      </w:r>
      <w:r w:rsidR="00C741F6" w:rsidRPr="00C579D1">
        <w:rPr>
          <w:lang w:val="fr-FR"/>
        </w:rPr>
        <w:t xml:space="preserve"> du PNUE sur les perspectives mondiales de la gestion des déchets </w:t>
      </w:r>
      <w:r w:rsidR="00602867" w:rsidRPr="00C579D1">
        <w:rPr>
          <w:lang w:val="fr-FR"/>
        </w:rPr>
        <w:t xml:space="preserve">établit que </w:t>
      </w:r>
      <w:r w:rsidR="00677FD3" w:rsidRPr="00C579D1">
        <w:rPr>
          <w:lang w:val="fr-FR"/>
        </w:rPr>
        <w:t xml:space="preserve">la gestion inadéquate des déchets </w:t>
      </w:r>
      <w:r w:rsidR="00602867" w:rsidRPr="00C579D1">
        <w:rPr>
          <w:lang w:val="fr-FR"/>
        </w:rPr>
        <w:t xml:space="preserve">constitue </w:t>
      </w:r>
      <w:r w:rsidR="00677FD3" w:rsidRPr="00C579D1">
        <w:rPr>
          <w:lang w:val="fr-FR"/>
        </w:rPr>
        <w:t>un problème sanitaire, économique et environnemental majeur, de 7 à 10 milliards de tonnes de déchets urbains étant produits chaque année et 3 milliards de personnes dans le monde</w:t>
      </w:r>
      <w:r w:rsidR="006C4C5E" w:rsidRPr="00C579D1">
        <w:rPr>
          <w:lang w:val="fr-FR"/>
        </w:rPr>
        <w:t xml:space="preserve"> </w:t>
      </w:r>
      <w:r w:rsidR="00677FD3" w:rsidRPr="00C579D1">
        <w:rPr>
          <w:lang w:val="fr-FR"/>
        </w:rPr>
        <w:t>ne disposant pas d’accès à des installations d’élimination des déchets contrôlées</w:t>
      </w:r>
      <w:r w:rsidR="006C4C5E" w:rsidRPr="00C579D1">
        <w:rPr>
          <w:lang w:val="fr-FR"/>
        </w:rPr>
        <w:t>.</w:t>
      </w:r>
      <w:r w:rsidR="00677FD3" w:rsidRPr="00C579D1">
        <w:rPr>
          <w:lang w:val="fr-FR"/>
        </w:rPr>
        <w:t xml:space="preserve"> L’évaluation fournit une solution</w:t>
      </w:r>
      <w:r w:rsidR="009203B9" w:rsidRPr="00C579D1">
        <w:rPr>
          <w:lang w:val="fr-FR"/>
        </w:rPr>
        <w:t xml:space="preserve"> globale intégrée au problème des déchets, fondée sur une amélioration de la collecte et de l’élimination des déchets, la prévention de la production de déchets et la maximisation de la réutilisation et du recyclage des ressources ainsi qu’une réorientation politique majeure d’une économie linéaire « extraire-fabriquer-consommer-jeter » vers une approche circulaire « réduire-réutiliser-recycler »</w:t>
      </w:r>
      <w:r w:rsidR="006C4C5E" w:rsidRPr="00C579D1">
        <w:rPr>
          <w:lang w:val="fr-FR"/>
        </w:rPr>
        <w:t xml:space="preserve"> </w:t>
      </w:r>
      <w:r w:rsidR="00A04159" w:rsidRPr="00C579D1">
        <w:rPr>
          <w:lang w:val="fr-FR"/>
        </w:rPr>
        <w:t>du cycle de vie des matériaux</w:t>
      </w:r>
      <w:r w:rsidR="006C4C5E" w:rsidRPr="00C579D1">
        <w:rPr>
          <w:lang w:val="fr-FR"/>
        </w:rPr>
        <w:t>.</w:t>
      </w:r>
      <w:r w:rsidR="00A04159" w:rsidRPr="00C579D1">
        <w:rPr>
          <w:lang w:val="fr-FR"/>
        </w:rPr>
        <w:t xml:space="preserve"> Une évaluation des perspectives africaines en matière de gestion des déchets est actuellement prévue</w:t>
      </w:r>
      <w:r w:rsidR="006C4C5E" w:rsidRPr="00C579D1">
        <w:rPr>
          <w:lang w:val="fr-FR"/>
        </w:rPr>
        <w:t xml:space="preserve">. </w:t>
      </w:r>
    </w:p>
    <w:p w:rsidR="006C4C5E" w:rsidRPr="00C579D1" w:rsidRDefault="000B2585" w:rsidP="00541B0D">
      <w:pPr>
        <w:pStyle w:val="Normalnumber"/>
        <w:tabs>
          <w:tab w:val="clear" w:pos="967"/>
          <w:tab w:val="clear" w:pos="1247"/>
          <w:tab w:val="clear" w:pos="1871"/>
          <w:tab w:val="left" w:pos="1843"/>
        </w:tabs>
        <w:ind w:left="1260"/>
        <w:rPr>
          <w:lang w:val="fr-FR"/>
        </w:rPr>
      </w:pPr>
      <w:r w:rsidRPr="00C579D1">
        <w:rPr>
          <w:lang w:val="fr-FR"/>
        </w:rPr>
        <w:t>Le</w:t>
      </w:r>
      <w:r w:rsidR="00963E40" w:rsidRPr="00C579D1">
        <w:rPr>
          <w:lang w:val="fr-FR"/>
        </w:rPr>
        <w:t xml:space="preserve"> </w:t>
      </w:r>
      <w:r w:rsidR="00602867" w:rsidRPr="00C579D1">
        <w:rPr>
          <w:lang w:val="fr-FR"/>
        </w:rPr>
        <w:t xml:space="preserve">Groupe </w:t>
      </w:r>
      <w:r w:rsidRPr="00C579D1">
        <w:rPr>
          <w:lang w:val="fr-FR"/>
        </w:rPr>
        <w:t xml:space="preserve">international </w:t>
      </w:r>
      <w:r w:rsidR="00602867" w:rsidRPr="00C579D1">
        <w:rPr>
          <w:lang w:val="fr-FR"/>
        </w:rPr>
        <w:t xml:space="preserve">d’experts sur </w:t>
      </w:r>
      <w:r w:rsidRPr="00C579D1">
        <w:rPr>
          <w:lang w:val="fr-FR"/>
        </w:rPr>
        <w:t>la gestion durable des ressources du PNUE a produit un certain nombre d’évaluations, notamment tout récemment une évaluation intitulée « </w:t>
      </w:r>
      <w:r w:rsidR="006C4C5E" w:rsidRPr="00774CE4">
        <w:rPr>
          <w:i/>
          <w:lang w:val="fr-FR"/>
        </w:rPr>
        <w:t xml:space="preserve">International Trade in Resources: A </w:t>
      </w:r>
      <w:r w:rsidR="00963E40" w:rsidRPr="00774CE4">
        <w:rPr>
          <w:i/>
          <w:lang w:val="fr-FR"/>
        </w:rPr>
        <w:t>B</w:t>
      </w:r>
      <w:r w:rsidR="006C4C5E" w:rsidRPr="00774CE4">
        <w:rPr>
          <w:i/>
          <w:lang w:val="fr-FR"/>
        </w:rPr>
        <w:t>iophysical Assessment</w:t>
      </w:r>
      <w:r w:rsidRPr="00C579D1">
        <w:rPr>
          <w:lang w:val="fr-FR"/>
        </w:rPr>
        <w:t> » et une autre sur les systèmes alimentaires et les ressources naturelles sera disponible prochainement</w:t>
      </w:r>
      <w:r w:rsidR="006C4C5E" w:rsidRPr="00C579D1">
        <w:rPr>
          <w:lang w:val="fr-FR"/>
        </w:rPr>
        <w:t>.</w:t>
      </w:r>
      <w:r w:rsidRPr="00C579D1">
        <w:rPr>
          <w:lang w:val="fr-FR"/>
        </w:rPr>
        <w:t xml:space="preserve"> Les évaluations du</w:t>
      </w:r>
      <w:r w:rsidR="006C4C5E" w:rsidRPr="00C579D1">
        <w:rPr>
          <w:lang w:val="fr-FR"/>
        </w:rPr>
        <w:t xml:space="preserve"> </w:t>
      </w:r>
      <w:r w:rsidR="00602867" w:rsidRPr="00C579D1">
        <w:rPr>
          <w:lang w:val="fr-FR"/>
        </w:rPr>
        <w:t xml:space="preserve">Groupe </w:t>
      </w:r>
      <w:r w:rsidR="005E7C46" w:rsidRPr="00C579D1">
        <w:rPr>
          <w:lang w:val="fr-FR"/>
        </w:rPr>
        <w:t>sont axées sur l’</w:t>
      </w:r>
      <w:r w:rsidR="00786D06" w:rsidRPr="00C579D1">
        <w:rPr>
          <w:lang w:val="fr-FR"/>
        </w:rPr>
        <w:t>interface science-politique, l</w:t>
      </w:r>
      <w:r w:rsidR="005E7C46" w:rsidRPr="00C579D1">
        <w:rPr>
          <w:lang w:val="fr-FR"/>
        </w:rPr>
        <w:t>es membres</w:t>
      </w:r>
      <w:r w:rsidR="00786D06" w:rsidRPr="00C579D1">
        <w:rPr>
          <w:lang w:val="fr-FR"/>
        </w:rPr>
        <w:t xml:space="preserve"> de ce dernier travailla</w:t>
      </w:r>
      <w:r w:rsidR="005E7C46" w:rsidRPr="00C579D1">
        <w:rPr>
          <w:lang w:val="fr-FR"/>
        </w:rPr>
        <w:t xml:space="preserve">nt en étroite collaboration avec </w:t>
      </w:r>
      <w:r w:rsidR="00007D1D" w:rsidRPr="00C579D1">
        <w:rPr>
          <w:lang w:val="fr-FR"/>
        </w:rPr>
        <w:t xml:space="preserve">les membres </w:t>
      </w:r>
      <w:r w:rsidR="005E7C46" w:rsidRPr="00C579D1">
        <w:rPr>
          <w:lang w:val="fr-FR"/>
        </w:rPr>
        <w:t xml:space="preserve">d’autres groupes scientifiques, notamment </w:t>
      </w:r>
      <w:r w:rsidR="00007D1D" w:rsidRPr="00C579D1">
        <w:rPr>
          <w:lang w:val="fr-FR"/>
        </w:rPr>
        <w:t>le</w:t>
      </w:r>
      <w:r w:rsidR="00C475B9" w:rsidRPr="00C579D1">
        <w:rPr>
          <w:lang w:val="fr-FR"/>
        </w:rPr>
        <w:t xml:space="preserve"> </w:t>
      </w:r>
      <w:r w:rsidR="005E7C46" w:rsidRPr="00C579D1">
        <w:rPr>
          <w:lang w:val="fr-FR"/>
        </w:rPr>
        <w:t>Groupe d’experts intergouvernementa</w:t>
      </w:r>
      <w:r w:rsidR="00B17D72">
        <w:rPr>
          <w:lang w:val="fr-FR"/>
        </w:rPr>
        <w:t>l sur l’évolution du climat, la </w:t>
      </w:r>
      <w:r w:rsidR="005E7C46" w:rsidRPr="00C579D1">
        <w:rPr>
          <w:lang w:val="fr-FR"/>
        </w:rPr>
        <w:t>Plateforme intergouvernementale scientifique et politique sur la biodiversité et les services écosystémiques et l’initiative</w:t>
      </w:r>
      <w:r w:rsidR="00963E40" w:rsidRPr="00C579D1">
        <w:rPr>
          <w:lang w:val="fr-FR"/>
        </w:rPr>
        <w:t xml:space="preserve"> </w:t>
      </w:r>
      <w:r w:rsidR="00602867" w:rsidRPr="00C579D1">
        <w:rPr>
          <w:lang w:val="fr-FR"/>
        </w:rPr>
        <w:t>concernant l’é</w:t>
      </w:r>
      <w:r w:rsidR="00C3410A" w:rsidRPr="00C579D1">
        <w:rPr>
          <w:lang w:val="fr-FR"/>
        </w:rPr>
        <w:t>conomie des écosystèmes et de la biodiversité</w:t>
      </w:r>
      <w:r w:rsidR="00C475B9" w:rsidRPr="00C579D1">
        <w:rPr>
          <w:lang w:val="fr-FR"/>
        </w:rPr>
        <w:t>,</w:t>
      </w:r>
      <w:r w:rsidR="00007D1D" w:rsidRPr="00C579D1">
        <w:rPr>
          <w:lang w:val="fr-FR"/>
        </w:rPr>
        <w:t xml:space="preserve"> ainsi qu’avec</w:t>
      </w:r>
      <w:r w:rsidR="00C3410A" w:rsidRPr="00C579D1">
        <w:rPr>
          <w:lang w:val="fr-FR"/>
        </w:rPr>
        <w:t xml:space="preserve"> ceux </w:t>
      </w:r>
      <w:r w:rsidR="00602867" w:rsidRPr="00C579D1">
        <w:rPr>
          <w:lang w:val="fr-FR"/>
        </w:rPr>
        <w:t xml:space="preserve">chargés de l’établissement du </w:t>
      </w:r>
      <w:r w:rsidR="00C3410A" w:rsidRPr="00C579D1">
        <w:rPr>
          <w:lang w:val="fr-FR"/>
        </w:rPr>
        <w:t xml:space="preserve">rapport </w:t>
      </w:r>
      <w:r w:rsidR="00602867" w:rsidRPr="00C579D1">
        <w:rPr>
          <w:lang w:val="fr-FR"/>
        </w:rPr>
        <w:t xml:space="preserve">de la Série </w:t>
      </w:r>
      <w:r w:rsidR="00602867" w:rsidRPr="00C579D1">
        <w:rPr>
          <w:i/>
          <w:lang w:val="fr-FR"/>
        </w:rPr>
        <w:t>L’A</w:t>
      </w:r>
      <w:r w:rsidR="00C3410A" w:rsidRPr="00C579D1">
        <w:rPr>
          <w:i/>
          <w:lang w:val="fr-FR"/>
        </w:rPr>
        <w:t>venir de l’environnement mondial</w:t>
      </w:r>
      <w:r w:rsidR="00C3410A" w:rsidRPr="00C579D1">
        <w:rPr>
          <w:lang w:val="fr-FR"/>
        </w:rPr>
        <w:t xml:space="preserve"> et du rapport sur les perspectives énergétiques mondiales</w:t>
      </w:r>
      <w:r w:rsidR="006C4C5E" w:rsidRPr="00C579D1">
        <w:rPr>
          <w:lang w:val="fr-FR"/>
        </w:rPr>
        <w:t>.</w:t>
      </w:r>
      <w:r w:rsidR="00C3410A" w:rsidRPr="00C579D1">
        <w:rPr>
          <w:lang w:val="fr-FR"/>
        </w:rPr>
        <w:t xml:space="preserve"> Les produits du</w:t>
      </w:r>
      <w:r w:rsidR="006C4C5E" w:rsidRPr="00C579D1">
        <w:rPr>
          <w:lang w:val="fr-FR"/>
        </w:rPr>
        <w:t xml:space="preserve"> </w:t>
      </w:r>
      <w:r w:rsidR="00602867" w:rsidRPr="00C579D1">
        <w:rPr>
          <w:lang w:val="fr-FR"/>
        </w:rPr>
        <w:t xml:space="preserve">Groupe </w:t>
      </w:r>
      <w:r w:rsidR="00C3410A" w:rsidRPr="00C579D1">
        <w:rPr>
          <w:lang w:val="fr-FR"/>
        </w:rPr>
        <w:t xml:space="preserve">sont utilisés directement dans </w:t>
      </w:r>
      <w:r w:rsidR="0028372F" w:rsidRPr="00C579D1">
        <w:rPr>
          <w:lang w:val="fr-FR"/>
        </w:rPr>
        <w:t>le</w:t>
      </w:r>
      <w:r w:rsidR="00086399" w:rsidRPr="00C579D1">
        <w:rPr>
          <w:lang w:val="fr-FR"/>
        </w:rPr>
        <w:t xml:space="preserve"> </w:t>
      </w:r>
      <w:r w:rsidR="00C3410A" w:rsidRPr="00C579D1">
        <w:rPr>
          <w:lang w:val="fr-FR"/>
        </w:rPr>
        <w:t>cadre mondial d’indicateurs du</w:t>
      </w:r>
      <w:r w:rsidR="006C4C5E" w:rsidRPr="00C579D1">
        <w:rPr>
          <w:lang w:val="fr-FR"/>
        </w:rPr>
        <w:t xml:space="preserve"> </w:t>
      </w:r>
      <w:r w:rsidR="00C3410A" w:rsidRPr="00C579D1">
        <w:rPr>
          <w:lang w:val="fr-FR"/>
        </w:rPr>
        <w:t>Programme de développement durable à l’horizon 2030</w:t>
      </w:r>
      <w:r w:rsidR="006C4C5E" w:rsidRPr="00C579D1">
        <w:rPr>
          <w:lang w:val="fr-FR"/>
        </w:rPr>
        <w:t>.</w:t>
      </w:r>
    </w:p>
    <w:p w:rsidR="006C4C5E" w:rsidRPr="00C579D1" w:rsidRDefault="008F086F" w:rsidP="00FA789D">
      <w:pPr>
        <w:pStyle w:val="CH2"/>
        <w:rPr>
          <w:lang w:val="fr-FR"/>
        </w:rPr>
      </w:pPr>
      <w:r w:rsidRPr="00C579D1">
        <w:rPr>
          <w:lang w:val="fr-FR"/>
        </w:rPr>
        <w:tab/>
        <w:t>E</w:t>
      </w:r>
      <w:r w:rsidR="006C4C5E" w:rsidRPr="00C579D1">
        <w:rPr>
          <w:lang w:val="fr-FR"/>
        </w:rPr>
        <w:t>.</w:t>
      </w:r>
      <w:r w:rsidR="006C4C5E" w:rsidRPr="00C579D1">
        <w:rPr>
          <w:lang w:val="fr-FR"/>
        </w:rPr>
        <w:tab/>
      </w:r>
      <w:r w:rsidR="00FE25CC" w:rsidRPr="00C579D1">
        <w:rPr>
          <w:lang w:val="fr-FR"/>
        </w:rPr>
        <w:t>Communiquer à un plus large public des informations scientifiques de première importance</w:t>
      </w:r>
    </w:p>
    <w:p w:rsidR="003475BD" w:rsidRDefault="00FE25CC" w:rsidP="00B17D72">
      <w:pPr>
        <w:pStyle w:val="Normalnumber"/>
        <w:keepNext/>
        <w:tabs>
          <w:tab w:val="clear" w:pos="967"/>
          <w:tab w:val="clear" w:pos="1247"/>
          <w:tab w:val="clear" w:pos="1871"/>
          <w:tab w:val="left" w:pos="1843"/>
        </w:tabs>
        <w:ind w:left="1259"/>
        <w:rPr>
          <w:lang w:val="fr-FR"/>
        </w:rPr>
      </w:pPr>
      <w:r w:rsidRPr="00C579D1">
        <w:rPr>
          <w:lang w:val="fr-FR"/>
        </w:rPr>
        <w:t xml:space="preserve">Les évaluations </w:t>
      </w:r>
      <w:r w:rsidR="00786D06" w:rsidRPr="00C579D1">
        <w:rPr>
          <w:lang w:val="fr-FR"/>
        </w:rPr>
        <w:t>en cours</w:t>
      </w:r>
      <w:r w:rsidRPr="00C579D1">
        <w:rPr>
          <w:lang w:val="fr-FR"/>
        </w:rPr>
        <w:t xml:space="preserve"> et futures prendront </w:t>
      </w:r>
      <w:r w:rsidR="00BD2AC1" w:rsidRPr="00C579D1">
        <w:rPr>
          <w:lang w:val="fr-FR"/>
        </w:rPr>
        <w:t>la</w:t>
      </w:r>
      <w:r w:rsidR="005C3F2B" w:rsidRPr="00C579D1">
        <w:rPr>
          <w:lang w:val="fr-FR"/>
        </w:rPr>
        <w:t xml:space="preserve"> forme</w:t>
      </w:r>
      <w:r w:rsidR="00BD2AC1" w:rsidRPr="00C579D1">
        <w:rPr>
          <w:lang w:val="fr-FR"/>
        </w:rPr>
        <w:t xml:space="preserve"> d’un livre</w:t>
      </w:r>
      <w:r w:rsidRPr="00C579D1">
        <w:rPr>
          <w:lang w:val="fr-FR"/>
        </w:rPr>
        <w:t xml:space="preserve"> électronique afin de faciliter une plus grande interaction </w:t>
      </w:r>
      <w:r w:rsidR="00FF0D3E" w:rsidRPr="00C579D1">
        <w:rPr>
          <w:lang w:val="fr-FR"/>
        </w:rPr>
        <w:t>avec</w:t>
      </w:r>
      <w:r w:rsidRPr="00C579D1">
        <w:rPr>
          <w:lang w:val="fr-FR"/>
        </w:rPr>
        <w:t xml:space="preserve"> </w:t>
      </w:r>
      <w:r w:rsidR="005C3F2B" w:rsidRPr="00C579D1">
        <w:rPr>
          <w:lang w:val="fr-FR"/>
        </w:rPr>
        <w:t xml:space="preserve">les </w:t>
      </w:r>
      <w:r w:rsidR="00FF0D3E" w:rsidRPr="00C579D1">
        <w:rPr>
          <w:lang w:val="fr-FR"/>
        </w:rPr>
        <w:t>matériels</w:t>
      </w:r>
      <w:r w:rsidR="005C3F2B" w:rsidRPr="00C579D1">
        <w:rPr>
          <w:lang w:val="fr-FR"/>
        </w:rPr>
        <w:t xml:space="preserve"> grâce à une présentation plus attra</w:t>
      </w:r>
      <w:r w:rsidR="00602867" w:rsidRPr="00C579D1">
        <w:rPr>
          <w:lang w:val="fr-FR"/>
        </w:rPr>
        <w:t xml:space="preserve">yante </w:t>
      </w:r>
      <w:r w:rsidR="005C3F2B" w:rsidRPr="00C579D1">
        <w:rPr>
          <w:lang w:val="fr-FR"/>
        </w:rPr>
        <w:t>et des liens vers un public plus large par l’intermédiaire de réseaux sociaux</w:t>
      </w:r>
      <w:r w:rsidR="006C4C5E" w:rsidRPr="00C579D1">
        <w:rPr>
          <w:lang w:val="fr-FR"/>
        </w:rPr>
        <w:t>.</w:t>
      </w:r>
      <w:r w:rsidR="005C3F2B" w:rsidRPr="00C579D1">
        <w:rPr>
          <w:lang w:val="fr-FR"/>
        </w:rPr>
        <w:t xml:space="preserve"> La technologie des </w:t>
      </w:r>
      <w:r w:rsidR="00FF0D3E" w:rsidRPr="00C579D1">
        <w:rPr>
          <w:lang w:val="fr-FR"/>
        </w:rPr>
        <w:t>livres électroniques</w:t>
      </w:r>
      <w:r w:rsidR="005C3F2B" w:rsidRPr="00C579D1">
        <w:rPr>
          <w:lang w:val="fr-FR"/>
        </w:rPr>
        <w:t xml:space="preserve"> </w:t>
      </w:r>
      <w:r w:rsidR="00DC701A" w:rsidRPr="00C579D1">
        <w:rPr>
          <w:lang w:val="fr-FR"/>
        </w:rPr>
        <w:t>fournit</w:t>
      </w:r>
      <w:r w:rsidR="005C3F2B" w:rsidRPr="00C579D1">
        <w:rPr>
          <w:lang w:val="fr-FR"/>
        </w:rPr>
        <w:t xml:space="preserve"> une plateforme tridimensionnelle, établissant des liens entre le contenu et des sources de données, des graphiques dynamiques, des </w:t>
      </w:r>
      <w:r w:rsidR="00602867" w:rsidRPr="00C579D1">
        <w:rPr>
          <w:lang w:val="fr-FR"/>
        </w:rPr>
        <w:t>tableaux</w:t>
      </w:r>
      <w:r w:rsidR="005C3F2B" w:rsidRPr="00C579D1">
        <w:rPr>
          <w:lang w:val="fr-FR"/>
        </w:rPr>
        <w:t xml:space="preserve">, des cartes et </w:t>
      </w:r>
      <w:r w:rsidR="00DC701A" w:rsidRPr="00C579D1">
        <w:rPr>
          <w:lang w:val="fr-FR"/>
        </w:rPr>
        <w:t>de la documentation</w:t>
      </w:r>
      <w:r w:rsidR="006C4C5E" w:rsidRPr="00C579D1">
        <w:rPr>
          <w:lang w:val="fr-FR"/>
        </w:rPr>
        <w:t>,</w:t>
      </w:r>
      <w:r w:rsidR="00DC701A" w:rsidRPr="00C579D1">
        <w:rPr>
          <w:lang w:val="fr-FR"/>
        </w:rPr>
        <w:t xml:space="preserve"> offrant ainsi une base scientifique plus riche</w:t>
      </w:r>
      <w:r w:rsidR="006C4C5E" w:rsidRPr="00C579D1">
        <w:rPr>
          <w:lang w:val="fr-FR"/>
        </w:rPr>
        <w:t xml:space="preserve"> </w:t>
      </w:r>
      <w:r w:rsidR="00DC701A" w:rsidRPr="00C579D1">
        <w:rPr>
          <w:lang w:val="fr-FR"/>
        </w:rPr>
        <w:t>et davantage de possibilités de traduction</w:t>
      </w:r>
      <w:r w:rsidR="006C4C5E" w:rsidRPr="00C579D1">
        <w:rPr>
          <w:lang w:val="fr-FR"/>
        </w:rPr>
        <w:t>.</w:t>
      </w:r>
      <w:r w:rsidR="00DC701A" w:rsidRPr="00C579D1">
        <w:rPr>
          <w:lang w:val="fr-FR"/>
        </w:rPr>
        <w:t xml:space="preserve"> Les </w:t>
      </w:r>
      <w:r w:rsidR="00FF0D3E" w:rsidRPr="00C579D1">
        <w:rPr>
          <w:lang w:val="fr-FR"/>
        </w:rPr>
        <w:t>livres électroniques</w:t>
      </w:r>
      <w:r w:rsidR="00DC701A" w:rsidRPr="00C579D1">
        <w:rPr>
          <w:lang w:val="fr-FR"/>
        </w:rPr>
        <w:t xml:space="preserve"> seront </w:t>
      </w:r>
    </w:p>
    <w:p w:rsidR="003475BD" w:rsidRDefault="003475BD">
      <w:pPr>
        <w:tabs>
          <w:tab w:val="clear" w:pos="1247"/>
          <w:tab w:val="clear" w:pos="1814"/>
          <w:tab w:val="clear" w:pos="2381"/>
          <w:tab w:val="clear" w:pos="2948"/>
          <w:tab w:val="clear" w:pos="3515"/>
        </w:tabs>
      </w:pPr>
      <w:r>
        <w:br w:type="page"/>
      </w:r>
    </w:p>
    <w:p w:rsidR="006C4C5E" w:rsidRPr="00C579D1" w:rsidRDefault="00FF0D3E" w:rsidP="003475BD">
      <w:pPr>
        <w:pStyle w:val="Normalnumber"/>
        <w:keepNext/>
        <w:numPr>
          <w:ilvl w:val="0"/>
          <w:numId w:val="0"/>
        </w:numPr>
        <w:tabs>
          <w:tab w:val="clear" w:pos="1247"/>
          <w:tab w:val="clear" w:pos="1871"/>
          <w:tab w:val="left" w:pos="1843"/>
        </w:tabs>
        <w:ind w:left="1259"/>
        <w:rPr>
          <w:lang w:val="fr-FR"/>
        </w:rPr>
      </w:pPr>
      <w:proofErr w:type="gramStart"/>
      <w:r w:rsidRPr="00C579D1">
        <w:rPr>
          <w:lang w:val="fr-FR"/>
        </w:rPr>
        <w:lastRenderedPageBreak/>
        <w:t>disponibles</w:t>
      </w:r>
      <w:proofErr w:type="gramEnd"/>
      <w:r w:rsidR="00DC701A" w:rsidRPr="00C579D1">
        <w:rPr>
          <w:lang w:val="fr-FR"/>
        </w:rPr>
        <w:t xml:space="preserve"> </w:t>
      </w:r>
      <w:r w:rsidRPr="00C579D1">
        <w:rPr>
          <w:lang w:val="fr-FR"/>
        </w:rPr>
        <w:t>sur la plateforme</w:t>
      </w:r>
      <w:r w:rsidR="00DC701A" w:rsidRPr="00C579D1">
        <w:rPr>
          <w:lang w:val="fr-FR"/>
        </w:rPr>
        <w:t xml:space="preserve"> « Le PNUE en direct » et le site web du PNUE et </w:t>
      </w:r>
      <w:r w:rsidR="00602867" w:rsidRPr="00C579D1">
        <w:rPr>
          <w:lang w:val="fr-FR"/>
        </w:rPr>
        <w:t xml:space="preserve">toucheront </w:t>
      </w:r>
      <w:r w:rsidR="00DC701A" w:rsidRPr="00C579D1">
        <w:rPr>
          <w:lang w:val="fr-FR"/>
        </w:rPr>
        <w:t>ainsi le public le plus large du PNUE</w:t>
      </w:r>
      <w:r w:rsidR="006C4C5E" w:rsidRPr="00C579D1">
        <w:rPr>
          <w:lang w:val="fr-FR"/>
        </w:rPr>
        <w:t>.</w:t>
      </w:r>
      <w:r w:rsidR="00DC701A" w:rsidRPr="00C579D1">
        <w:rPr>
          <w:lang w:val="fr-FR"/>
        </w:rPr>
        <w:t xml:space="preserve"> Des </w:t>
      </w:r>
      <w:r w:rsidR="00602867" w:rsidRPr="00C579D1">
        <w:rPr>
          <w:lang w:val="fr-FR"/>
        </w:rPr>
        <w:t xml:space="preserve">documents </w:t>
      </w:r>
      <w:r w:rsidR="00DC701A" w:rsidRPr="00C579D1">
        <w:rPr>
          <w:lang w:val="fr-FR"/>
        </w:rPr>
        <w:t xml:space="preserve">traditionnels </w:t>
      </w:r>
      <w:r w:rsidR="00602867" w:rsidRPr="00C579D1">
        <w:rPr>
          <w:lang w:val="fr-FR"/>
        </w:rPr>
        <w:t xml:space="preserve">sur papier </w:t>
      </w:r>
      <w:r w:rsidR="00DC701A" w:rsidRPr="00C579D1">
        <w:rPr>
          <w:lang w:val="fr-FR"/>
        </w:rPr>
        <w:t>seront également disponibles en nombre limité à des fins de référence</w:t>
      </w:r>
      <w:r w:rsidR="006C4C5E" w:rsidRPr="00C579D1">
        <w:rPr>
          <w:lang w:val="fr-FR"/>
        </w:rPr>
        <w:t>.</w:t>
      </w:r>
    </w:p>
    <w:p w:rsidR="006C4C5E" w:rsidRPr="00C579D1" w:rsidRDefault="00AC3A10" w:rsidP="00541B0D">
      <w:pPr>
        <w:pStyle w:val="Normalnumber"/>
        <w:tabs>
          <w:tab w:val="clear" w:pos="967"/>
          <w:tab w:val="clear" w:pos="1247"/>
          <w:tab w:val="clear" w:pos="1871"/>
          <w:tab w:val="left" w:pos="1843"/>
        </w:tabs>
        <w:ind w:left="1260"/>
        <w:rPr>
          <w:lang w:val="fr-FR"/>
        </w:rPr>
      </w:pPr>
      <w:r w:rsidRPr="00C579D1">
        <w:rPr>
          <w:lang w:val="fr-FR"/>
        </w:rPr>
        <w:t>Le</w:t>
      </w:r>
      <w:r w:rsidR="00951795" w:rsidRPr="00C579D1">
        <w:rPr>
          <w:lang w:val="fr-FR"/>
        </w:rPr>
        <w:t xml:space="preserve"> </w:t>
      </w:r>
      <w:r w:rsidRPr="00C579D1">
        <w:rPr>
          <w:lang w:val="fr-FR"/>
        </w:rPr>
        <w:t>Groupe d’experts intergouvernemental sur l’évolution du climat et</w:t>
      </w:r>
      <w:r w:rsidR="00951795" w:rsidRPr="00C579D1">
        <w:rPr>
          <w:lang w:val="fr-FR"/>
        </w:rPr>
        <w:t xml:space="preserve"> </w:t>
      </w:r>
      <w:r w:rsidRPr="00C579D1">
        <w:rPr>
          <w:lang w:val="fr-FR"/>
        </w:rPr>
        <w:t xml:space="preserve">la Plateforme intergouvernementale scientifique et politique sur la biodiversité et les services écosystémiques disposent également de politiques spécifiques </w:t>
      </w:r>
      <w:r w:rsidR="00807EF6" w:rsidRPr="00C579D1">
        <w:rPr>
          <w:lang w:val="fr-FR"/>
        </w:rPr>
        <w:t xml:space="preserve">visant à faciliter et </w:t>
      </w:r>
      <w:r w:rsidR="00FF0D3E" w:rsidRPr="00C579D1">
        <w:rPr>
          <w:lang w:val="fr-FR"/>
        </w:rPr>
        <w:t xml:space="preserve">à </w:t>
      </w:r>
      <w:r w:rsidR="00807EF6" w:rsidRPr="00C579D1">
        <w:rPr>
          <w:lang w:val="fr-FR"/>
        </w:rPr>
        <w:t>renforcer l’utilisation systématique et cohérente des technologies numériques les plus récentes pour le partage et la diffusion des informations et l’amélioration de la</w:t>
      </w:r>
      <w:r w:rsidR="006C4C5E" w:rsidRPr="00C579D1">
        <w:rPr>
          <w:lang w:val="fr-FR"/>
        </w:rPr>
        <w:t xml:space="preserve"> </w:t>
      </w:r>
      <w:r w:rsidR="00807EF6" w:rsidRPr="00C579D1">
        <w:rPr>
          <w:lang w:val="fr-FR"/>
        </w:rPr>
        <w:t>lisibilité de leurs produits</w:t>
      </w:r>
      <w:r w:rsidR="006C4C5E" w:rsidRPr="00C579D1">
        <w:rPr>
          <w:lang w:val="fr-FR"/>
        </w:rPr>
        <w:t xml:space="preserve">. </w:t>
      </w:r>
      <w:r w:rsidR="00807EF6" w:rsidRPr="00C579D1">
        <w:rPr>
          <w:lang w:val="fr-FR"/>
        </w:rPr>
        <w:t xml:space="preserve">Le Groupe d’experts intergouvernemental étudie des options pour atteindre plus efficacement toutes les parties prenantes concernées tout en </w:t>
      </w:r>
      <w:r w:rsidR="000A5C89" w:rsidRPr="00C579D1">
        <w:rPr>
          <w:lang w:val="fr-FR"/>
        </w:rPr>
        <w:t>gardant</w:t>
      </w:r>
      <w:r w:rsidR="00807EF6" w:rsidRPr="00C579D1">
        <w:rPr>
          <w:lang w:val="fr-FR"/>
        </w:rPr>
        <w:t xml:space="preserve"> sa rigueur scientifique et son objectivité</w:t>
      </w:r>
      <w:r w:rsidR="006C4C5E" w:rsidRPr="00C579D1">
        <w:rPr>
          <w:lang w:val="fr-FR"/>
        </w:rPr>
        <w:t xml:space="preserve">. </w:t>
      </w:r>
    </w:p>
    <w:p w:rsidR="006C4C5E" w:rsidRPr="00C579D1" w:rsidRDefault="008F086F" w:rsidP="006C4C5E">
      <w:pPr>
        <w:pStyle w:val="CH2"/>
        <w:rPr>
          <w:lang w:val="fr-FR"/>
        </w:rPr>
      </w:pPr>
      <w:r w:rsidRPr="00C579D1">
        <w:rPr>
          <w:lang w:val="fr-FR"/>
        </w:rPr>
        <w:tab/>
        <w:t>F</w:t>
      </w:r>
      <w:r w:rsidR="006C4C5E" w:rsidRPr="00C579D1">
        <w:rPr>
          <w:lang w:val="fr-FR"/>
        </w:rPr>
        <w:t>.</w:t>
      </w:r>
      <w:r w:rsidR="006C4C5E" w:rsidRPr="00C579D1">
        <w:rPr>
          <w:lang w:val="fr-FR"/>
        </w:rPr>
        <w:tab/>
        <w:t>Part</w:t>
      </w:r>
      <w:r w:rsidR="009070E3" w:rsidRPr="00C579D1">
        <w:rPr>
          <w:lang w:val="fr-FR"/>
        </w:rPr>
        <w:t xml:space="preserve">enariats visant à appuyer les évaluations intégrées </w:t>
      </w:r>
      <w:r w:rsidR="00602867" w:rsidRPr="00C579D1">
        <w:rPr>
          <w:lang w:val="fr-FR"/>
        </w:rPr>
        <w:t xml:space="preserve">de l’environnement </w:t>
      </w:r>
      <w:r w:rsidR="009070E3" w:rsidRPr="00C579D1">
        <w:rPr>
          <w:lang w:val="fr-FR"/>
        </w:rPr>
        <w:t>et à renforcer l’interface science-politique</w:t>
      </w:r>
    </w:p>
    <w:p w:rsidR="006C4C5E" w:rsidRPr="00C579D1" w:rsidRDefault="009070E3" w:rsidP="00541B0D">
      <w:pPr>
        <w:pStyle w:val="Normalnumber"/>
        <w:tabs>
          <w:tab w:val="clear" w:pos="967"/>
          <w:tab w:val="clear" w:pos="1247"/>
          <w:tab w:val="clear" w:pos="1871"/>
          <w:tab w:val="left" w:pos="1843"/>
        </w:tabs>
        <w:ind w:left="1260"/>
        <w:rPr>
          <w:lang w:val="fr-FR"/>
        </w:rPr>
      </w:pPr>
      <w:r w:rsidRPr="00C579D1">
        <w:rPr>
          <w:lang w:val="fr-FR"/>
        </w:rPr>
        <w:t xml:space="preserve">Toutes les évaluations </w:t>
      </w:r>
      <w:r w:rsidR="00786D06" w:rsidRPr="00C579D1">
        <w:rPr>
          <w:lang w:val="fr-FR"/>
        </w:rPr>
        <w:t>en cours</w:t>
      </w:r>
      <w:r w:rsidR="00951795" w:rsidRPr="00C579D1">
        <w:rPr>
          <w:lang w:val="fr-FR"/>
        </w:rPr>
        <w:t xml:space="preserve"> – </w:t>
      </w:r>
      <w:r w:rsidRPr="00C579D1">
        <w:rPr>
          <w:lang w:val="fr-FR"/>
        </w:rPr>
        <w:t>le sixième rapport sur l’avenir de l’environnement mondial</w:t>
      </w:r>
      <w:r w:rsidR="00951795" w:rsidRPr="00C579D1">
        <w:rPr>
          <w:lang w:val="fr-FR"/>
        </w:rPr>
        <w:t xml:space="preserve">, </w:t>
      </w:r>
      <w:r w:rsidR="003B1C72">
        <w:rPr>
          <w:lang w:val="fr-FR"/>
        </w:rPr>
        <w:t>le </w:t>
      </w:r>
      <w:r w:rsidRPr="00C579D1">
        <w:rPr>
          <w:lang w:val="fr-FR"/>
        </w:rPr>
        <w:t>rapport sur les perspectives mondiales en matière de genre et d’environnement</w:t>
      </w:r>
      <w:r w:rsidR="00C475B9" w:rsidRPr="00C579D1">
        <w:rPr>
          <w:lang w:val="fr-FR"/>
        </w:rPr>
        <w:t xml:space="preserve">, </w:t>
      </w:r>
      <w:r w:rsidR="00546153" w:rsidRPr="00C579D1">
        <w:rPr>
          <w:lang w:val="fr-FR"/>
        </w:rPr>
        <w:t>l’Évaluation mondiale des océans des Nations Unies</w:t>
      </w:r>
      <w:r w:rsidR="00951795" w:rsidRPr="00C579D1">
        <w:rPr>
          <w:lang w:val="fr-FR"/>
        </w:rPr>
        <w:t xml:space="preserve"> </w:t>
      </w:r>
      <w:r w:rsidR="00546153" w:rsidRPr="00C579D1">
        <w:rPr>
          <w:lang w:val="fr-FR"/>
        </w:rPr>
        <w:t>et les évaluations du</w:t>
      </w:r>
      <w:r w:rsidR="00951795" w:rsidRPr="00C579D1">
        <w:rPr>
          <w:lang w:val="fr-FR"/>
        </w:rPr>
        <w:t xml:space="preserve"> </w:t>
      </w:r>
      <w:r w:rsidR="00546153" w:rsidRPr="00C579D1">
        <w:rPr>
          <w:lang w:val="fr-FR"/>
        </w:rPr>
        <w:t>Groupe d’experts intergouvernemental sur l’évolution du climat</w:t>
      </w:r>
      <w:r w:rsidR="00951795" w:rsidRPr="00C579D1">
        <w:rPr>
          <w:lang w:val="fr-FR"/>
        </w:rPr>
        <w:t xml:space="preserve">, </w:t>
      </w:r>
      <w:r w:rsidR="00546153" w:rsidRPr="00C579D1">
        <w:rPr>
          <w:lang w:val="fr-FR"/>
        </w:rPr>
        <w:t>de la</w:t>
      </w:r>
      <w:r w:rsidR="00951795" w:rsidRPr="00C579D1">
        <w:rPr>
          <w:lang w:val="fr-FR"/>
        </w:rPr>
        <w:t xml:space="preserve"> </w:t>
      </w:r>
      <w:r w:rsidR="00546153" w:rsidRPr="00C579D1">
        <w:rPr>
          <w:lang w:val="fr-FR"/>
        </w:rPr>
        <w:t>Plateforme intergouvernementale scientifique et politique sur la biodiversité et les services écosystémiques</w:t>
      </w:r>
      <w:r w:rsidR="00951795" w:rsidRPr="00C579D1">
        <w:rPr>
          <w:lang w:val="fr-FR"/>
        </w:rPr>
        <w:t xml:space="preserve">, </w:t>
      </w:r>
      <w:r w:rsidR="00546153" w:rsidRPr="00C579D1">
        <w:rPr>
          <w:lang w:val="fr-FR"/>
        </w:rPr>
        <w:t>du</w:t>
      </w:r>
      <w:r w:rsidR="00951795" w:rsidRPr="00C579D1">
        <w:rPr>
          <w:lang w:val="fr-FR"/>
        </w:rPr>
        <w:t xml:space="preserve"> </w:t>
      </w:r>
      <w:r w:rsidR="00602867" w:rsidRPr="00C579D1">
        <w:rPr>
          <w:lang w:val="fr-FR"/>
        </w:rPr>
        <w:t xml:space="preserve">Groupe </w:t>
      </w:r>
      <w:r w:rsidR="00546153" w:rsidRPr="00C579D1">
        <w:rPr>
          <w:lang w:val="fr-FR"/>
        </w:rPr>
        <w:t xml:space="preserve">international </w:t>
      </w:r>
      <w:r w:rsidR="00602867" w:rsidRPr="00C579D1">
        <w:rPr>
          <w:lang w:val="fr-FR"/>
        </w:rPr>
        <w:t xml:space="preserve">d’experts sur </w:t>
      </w:r>
      <w:r w:rsidR="00546153" w:rsidRPr="00C579D1">
        <w:rPr>
          <w:lang w:val="fr-FR"/>
        </w:rPr>
        <w:t>la gestion durable des ressources et du</w:t>
      </w:r>
      <w:r w:rsidR="00951795" w:rsidRPr="00C579D1">
        <w:rPr>
          <w:lang w:val="fr-FR"/>
        </w:rPr>
        <w:t xml:space="preserve"> </w:t>
      </w:r>
      <w:r w:rsidR="00546153" w:rsidRPr="00C579D1">
        <w:rPr>
          <w:lang w:val="fr-FR"/>
        </w:rPr>
        <w:t>Programme d’évaluation des eaux transfrontalières</w:t>
      </w:r>
      <w:r w:rsidR="00951795" w:rsidRPr="00C579D1">
        <w:rPr>
          <w:lang w:val="fr-FR"/>
        </w:rPr>
        <w:t xml:space="preserve"> – </w:t>
      </w:r>
      <w:r w:rsidR="00546153" w:rsidRPr="00C579D1">
        <w:rPr>
          <w:lang w:val="fr-FR"/>
        </w:rPr>
        <w:t>suivent une approche</w:t>
      </w:r>
      <w:r w:rsidR="006C4C5E" w:rsidRPr="00C579D1">
        <w:rPr>
          <w:lang w:val="fr-FR"/>
        </w:rPr>
        <w:t xml:space="preserve"> </w:t>
      </w:r>
      <w:r w:rsidR="00546153" w:rsidRPr="00C579D1">
        <w:rPr>
          <w:lang w:val="fr-FR"/>
        </w:rPr>
        <w:t>intégrée avec des processus d’examen collégial</w:t>
      </w:r>
      <w:r w:rsidR="00D51E61" w:rsidRPr="00C579D1">
        <w:rPr>
          <w:lang w:val="fr-FR"/>
        </w:rPr>
        <w:t xml:space="preserve"> rigoureux et complets ainsi que des normes</w:t>
      </w:r>
      <w:r w:rsidR="00546153" w:rsidRPr="00C579D1">
        <w:rPr>
          <w:lang w:val="fr-FR"/>
        </w:rPr>
        <w:t xml:space="preserve"> </w:t>
      </w:r>
      <w:r w:rsidR="00D51E61" w:rsidRPr="00C579D1">
        <w:rPr>
          <w:lang w:val="fr-FR"/>
        </w:rPr>
        <w:t>d’assurance qualité et sont caractérisées par un lien étroit entre les résultats scientifiques et les réponses politiques</w:t>
      </w:r>
      <w:r w:rsidR="006C4C5E" w:rsidRPr="00C579D1">
        <w:rPr>
          <w:lang w:val="fr-FR"/>
        </w:rPr>
        <w:t>.</w:t>
      </w:r>
      <w:r w:rsidR="00D51E61" w:rsidRPr="00C579D1">
        <w:rPr>
          <w:lang w:val="fr-FR"/>
        </w:rPr>
        <w:t xml:space="preserve"> Elles s’articulent généralement autour d’un examen systématique des questions environnementales prioritaires et nouvelles</w:t>
      </w:r>
      <w:r w:rsidR="006C4C5E" w:rsidRPr="00C579D1">
        <w:rPr>
          <w:lang w:val="fr-FR"/>
        </w:rPr>
        <w:t xml:space="preserve">; </w:t>
      </w:r>
      <w:r w:rsidR="00D51E61" w:rsidRPr="00C579D1">
        <w:rPr>
          <w:lang w:val="fr-FR"/>
        </w:rPr>
        <w:t xml:space="preserve">d’une évaluation de l’état de l’environnement reposant de plus en plus sur des données, des indicateurs et des informations actualisés </w:t>
      </w:r>
      <w:r w:rsidR="00E6704C" w:rsidRPr="00C579D1">
        <w:rPr>
          <w:lang w:val="fr-FR"/>
        </w:rPr>
        <w:t>concernant les tendances clés</w:t>
      </w:r>
      <w:r w:rsidR="006C4C5E" w:rsidRPr="00C579D1">
        <w:rPr>
          <w:lang w:val="fr-FR"/>
        </w:rPr>
        <w:t>;</w:t>
      </w:r>
      <w:r w:rsidR="00951795" w:rsidRPr="00C579D1">
        <w:rPr>
          <w:lang w:val="fr-FR"/>
        </w:rPr>
        <w:t xml:space="preserve"> </w:t>
      </w:r>
      <w:r w:rsidR="00E6704C" w:rsidRPr="00C579D1">
        <w:rPr>
          <w:lang w:val="fr-FR"/>
        </w:rPr>
        <w:t>d’un examen des réponses politiques et, le cas échéant, d’une évaluation de leur efficacité relative et de leur degré de réussite</w:t>
      </w:r>
      <w:r w:rsidR="006C4C5E" w:rsidRPr="00C579D1">
        <w:rPr>
          <w:lang w:val="fr-FR"/>
        </w:rPr>
        <w:t xml:space="preserve">; </w:t>
      </w:r>
      <w:r w:rsidR="00E6704C" w:rsidRPr="00C579D1">
        <w:rPr>
          <w:lang w:val="fr-FR"/>
        </w:rPr>
        <w:t>et d’une prévision des tendances, scénarios et perspectives à plus long terme concernant l’environnement</w:t>
      </w:r>
      <w:r w:rsidR="00951795" w:rsidRPr="00C579D1">
        <w:rPr>
          <w:lang w:val="fr-FR"/>
        </w:rPr>
        <w:t>.</w:t>
      </w:r>
    </w:p>
    <w:p w:rsidR="006C4C5E" w:rsidRPr="00C579D1" w:rsidRDefault="00E6704C" w:rsidP="00541B0D">
      <w:pPr>
        <w:pStyle w:val="Normalnumber"/>
        <w:tabs>
          <w:tab w:val="clear" w:pos="967"/>
          <w:tab w:val="clear" w:pos="1247"/>
          <w:tab w:val="clear" w:pos="1871"/>
          <w:tab w:val="left" w:pos="1843"/>
        </w:tabs>
        <w:ind w:left="1260"/>
        <w:rPr>
          <w:lang w:val="fr-FR"/>
        </w:rPr>
      </w:pPr>
      <w:r w:rsidRPr="00C579D1">
        <w:rPr>
          <w:lang w:val="fr-FR"/>
        </w:rPr>
        <w:t xml:space="preserve">Les évaluations </w:t>
      </w:r>
      <w:r w:rsidR="00786D06" w:rsidRPr="00C579D1">
        <w:rPr>
          <w:lang w:val="fr-FR"/>
        </w:rPr>
        <w:t>en cours</w:t>
      </w:r>
      <w:r w:rsidRPr="00C579D1">
        <w:rPr>
          <w:lang w:val="fr-FR"/>
        </w:rPr>
        <w:t xml:space="preserve"> et futures sont – et continueront d’être – </w:t>
      </w:r>
      <w:r w:rsidR="003B1C72">
        <w:rPr>
          <w:lang w:val="fr-FR"/>
        </w:rPr>
        <w:t>étayées par les données, les </w:t>
      </w:r>
      <w:r w:rsidR="00546AA9" w:rsidRPr="00C579D1">
        <w:rPr>
          <w:lang w:val="fr-FR"/>
        </w:rPr>
        <w:t>indicateurs et l</w:t>
      </w:r>
      <w:r w:rsidRPr="00C579D1">
        <w:rPr>
          <w:lang w:val="fr-FR"/>
        </w:rPr>
        <w:t xml:space="preserve">es métadonnées </w:t>
      </w:r>
      <w:r w:rsidR="00546AA9" w:rsidRPr="00C579D1">
        <w:rPr>
          <w:lang w:val="fr-FR"/>
        </w:rPr>
        <w:t xml:space="preserve">de qualité supérieure que le PNUE met à disposition par l’intermédiaire </w:t>
      </w:r>
      <w:r w:rsidR="006F0DD1" w:rsidRPr="00C579D1">
        <w:rPr>
          <w:lang w:val="fr-FR"/>
        </w:rPr>
        <w:t>de la plateforme</w:t>
      </w:r>
      <w:r w:rsidR="00546AA9" w:rsidRPr="00C579D1">
        <w:rPr>
          <w:lang w:val="fr-FR"/>
        </w:rPr>
        <w:t xml:space="preserve"> « </w:t>
      </w:r>
      <w:r w:rsidR="006F0DD1" w:rsidRPr="00C579D1">
        <w:rPr>
          <w:lang w:val="fr-FR"/>
        </w:rPr>
        <w:t xml:space="preserve">Le </w:t>
      </w:r>
      <w:r w:rsidR="00546AA9" w:rsidRPr="00C579D1">
        <w:rPr>
          <w:lang w:val="fr-FR"/>
        </w:rPr>
        <w:t>PNUE en direct », avec des liens vers le catalogue des données du système des Nations Unies et</w:t>
      </w:r>
      <w:r w:rsidR="006C4C5E" w:rsidRPr="00C579D1">
        <w:rPr>
          <w:lang w:val="fr-FR"/>
        </w:rPr>
        <w:t xml:space="preserve"> </w:t>
      </w:r>
      <w:r w:rsidR="00774CE4">
        <w:rPr>
          <w:lang w:val="fr-FR"/>
        </w:rPr>
        <w:t xml:space="preserve">l’ontologie concernant </w:t>
      </w:r>
      <w:r w:rsidR="00602867" w:rsidRPr="00C579D1">
        <w:rPr>
          <w:lang w:val="fr-FR"/>
        </w:rPr>
        <w:t>les objectifs de développement durable</w:t>
      </w:r>
      <w:r w:rsidR="00774CE4">
        <w:rPr>
          <w:lang w:val="fr-FR"/>
        </w:rPr>
        <w:t>,</w:t>
      </w:r>
      <w:r w:rsidR="006C4C5E" w:rsidRPr="00C579D1">
        <w:rPr>
          <w:lang w:val="fr-FR"/>
        </w:rPr>
        <w:t xml:space="preserve"> </w:t>
      </w:r>
      <w:r w:rsidR="00546AA9" w:rsidRPr="00C579D1">
        <w:rPr>
          <w:lang w:val="fr-FR"/>
        </w:rPr>
        <w:t>ainsi que vers des plateformes nationales et internationales de données ouvertes</w:t>
      </w:r>
      <w:r w:rsidR="006C4C5E" w:rsidRPr="00C579D1">
        <w:rPr>
          <w:lang w:val="fr-FR"/>
        </w:rPr>
        <w:t>.</w:t>
      </w:r>
      <w:r w:rsidR="00CB732D" w:rsidRPr="00C579D1">
        <w:rPr>
          <w:lang w:val="fr-FR"/>
        </w:rPr>
        <w:t xml:space="preserve"> </w:t>
      </w:r>
      <w:r w:rsidR="00E30B23" w:rsidRPr="00C579D1">
        <w:rPr>
          <w:lang w:val="fr-FR"/>
        </w:rPr>
        <w:t>L’objectif global est de veiller à ce que les données soient récentes et à jour et de fournir une approche</w:t>
      </w:r>
      <w:r w:rsidR="006C4C5E" w:rsidRPr="00C579D1">
        <w:rPr>
          <w:lang w:val="fr-FR"/>
        </w:rPr>
        <w:t xml:space="preserve"> </w:t>
      </w:r>
      <w:r w:rsidR="00E30B23" w:rsidRPr="00C579D1">
        <w:rPr>
          <w:lang w:val="fr-FR"/>
        </w:rPr>
        <w:t>plus continue pour les évaluations</w:t>
      </w:r>
      <w:r w:rsidR="006C4C5E" w:rsidRPr="00C579D1">
        <w:rPr>
          <w:lang w:val="fr-FR"/>
        </w:rPr>
        <w:t>.</w:t>
      </w:r>
    </w:p>
    <w:p w:rsidR="006C4C5E" w:rsidRPr="00C579D1" w:rsidRDefault="00E30B23" w:rsidP="00541B0D">
      <w:pPr>
        <w:pStyle w:val="Normalnumber"/>
        <w:tabs>
          <w:tab w:val="clear" w:pos="967"/>
          <w:tab w:val="clear" w:pos="1247"/>
          <w:tab w:val="clear" w:pos="1871"/>
          <w:tab w:val="left" w:pos="1843"/>
        </w:tabs>
        <w:ind w:left="1260"/>
        <w:rPr>
          <w:lang w:val="fr-FR"/>
        </w:rPr>
      </w:pPr>
      <w:r w:rsidRPr="00C579D1">
        <w:rPr>
          <w:lang w:val="fr-FR"/>
        </w:rPr>
        <w:t xml:space="preserve">La stratégie de gestion des connaissances du PNUE prévoit une transition vers un accès ouvert </w:t>
      </w:r>
      <w:r w:rsidR="000049A9" w:rsidRPr="00C579D1">
        <w:rPr>
          <w:lang w:val="fr-FR"/>
        </w:rPr>
        <w:t>à</w:t>
      </w:r>
      <w:r w:rsidRPr="00C579D1">
        <w:rPr>
          <w:lang w:val="fr-FR"/>
        </w:rPr>
        <w:t xml:space="preserve"> toutes les </w:t>
      </w:r>
      <w:r w:rsidR="0008208E" w:rsidRPr="00C579D1">
        <w:rPr>
          <w:lang w:val="fr-FR"/>
        </w:rPr>
        <w:t>références</w:t>
      </w:r>
      <w:r w:rsidRPr="00C579D1">
        <w:rPr>
          <w:lang w:val="fr-FR"/>
        </w:rPr>
        <w:t xml:space="preserve"> figurant dans ses rapports, permettant ainsi d’améliorer la transparence et de renforcer et d’étendre la base de données</w:t>
      </w:r>
      <w:r w:rsidR="000049A9" w:rsidRPr="00C579D1">
        <w:rPr>
          <w:lang w:val="fr-FR"/>
        </w:rPr>
        <w:t xml:space="preserve"> pour tous les utilisateurs, en par</w:t>
      </w:r>
      <w:r w:rsidR="003B1C72">
        <w:rPr>
          <w:lang w:val="fr-FR"/>
        </w:rPr>
        <w:t>ticulier les décideurs. À cette </w:t>
      </w:r>
      <w:r w:rsidR="000049A9" w:rsidRPr="00C579D1">
        <w:rPr>
          <w:lang w:val="fr-FR"/>
        </w:rPr>
        <w:t>fin, des partenariats sont mis en place avec des éditeurs scientifiques chefs de file</w:t>
      </w:r>
      <w:r w:rsidR="006C4C5E" w:rsidRPr="00C579D1">
        <w:rPr>
          <w:lang w:val="fr-FR"/>
        </w:rPr>
        <w:t>.</w:t>
      </w:r>
    </w:p>
    <w:p w:rsidR="00760A59" w:rsidRPr="00C579D1" w:rsidRDefault="000049A9" w:rsidP="00541B0D">
      <w:pPr>
        <w:pStyle w:val="Normalnumber"/>
        <w:tabs>
          <w:tab w:val="clear" w:pos="967"/>
          <w:tab w:val="clear" w:pos="1247"/>
          <w:tab w:val="clear" w:pos="1871"/>
          <w:tab w:val="left" w:pos="1843"/>
        </w:tabs>
        <w:ind w:left="1260"/>
        <w:rPr>
          <w:lang w:val="fr-FR"/>
        </w:rPr>
      </w:pPr>
      <w:r w:rsidRPr="00C579D1">
        <w:rPr>
          <w:lang w:val="fr-FR"/>
        </w:rPr>
        <w:t xml:space="preserve">Des partenariats sont renforcés par l’intermédiaire du réseau de centres collaborateurs et de centres d’excellence thématiques, notamment </w:t>
      </w:r>
      <w:r w:rsidR="007A6C9D" w:rsidRPr="00C579D1">
        <w:rPr>
          <w:lang w:val="fr-FR"/>
        </w:rPr>
        <w:t>les centres de données intégrées mondiales et régionales (GRID)</w:t>
      </w:r>
      <w:r w:rsidR="00CE2D0D" w:rsidRPr="00C579D1">
        <w:rPr>
          <w:lang w:val="fr-FR"/>
        </w:rPr>
        <w:t>, avec d</w:t>
      </w:r>
      <w:r w:rsidR="007A6C9D" w:rsidRPr="00C579D1">
        <w:rPr>
          <w:lang w:val="fr-FR"/>
        </w:rPr>
        <w:t xml:space="preserve">es secrétariats </w:t>
      </w:r>
      <w:r w:rsidR="00CE2D0D" w:rsidRPr="00C579D1">
        <w:rPr>
          <w:lang w:val="fr-FR"/>
        </w:rPr>
        <w:t>d’</w:t>
      </w:r>
      <w:r w:rsidR="007A6C9D" w:rsidRPr="00C579D1">
        <w:rPr>
          <w:lang w:val="fr-FR"/>
        </w:rPr>
        <w:t>accords multilatéraux sur l’environnement</w:t>
      </w:r>
      <w:r w:rsidR="00CE2D0D" w:rsidRPr="00C579D1">
        <w:rPr>
          <w:lang w:val="fr-FR"/>
        </w:rPr>
        <w:t xml:space="preserve"> et des organismes régionaux</w:t>
      </w:r>
      <w:r w:rsidR="006C4C5E" w:rsidRPr="00C579D1">
        <w:rPr>
          <w:lang w:val="fr-FR"/>
        </w:rPr>
        <w:t>,</w:t>
      </w:r>
      <w:r w:rsidR="007A6C9D" w:rsidRPr="00C579D1">
        <w:rPr>
          <w:lang w:val="fr-FR"/>
        </w:rPr>
        <w:t xml:space="preserve"> en particulier lorsqu’une expertise scientifique ou politique spécifique est apportée et que des activités de coordination sont mises en place afin de maximiser les synergies</w:t>
      </w:r>
      <w:r w:rsidR="006C4C5E" w:rsidRPr="00C579D1">
        <w:rPr>
          <w:lang w:val="fr-FR"/>
        </w:rPr>
        <w:t>.</w:t>
      </w:r>
      <w:r w:rsidR="007A6C9D" w:rsidRPr="00C579D1">
        <w:rPr>
          <w:lang w:val="fr-FR"/>
        </w:rPr>
        <w:t xml:space="preserve"> Les rapports du PNUE fournissent aux accords multilatéraux sur l’environnement un appui</w:t>
      </w:r>
      <w:r w:rsidR="00760A59" w:rsidRPr="00C579D1">
        <w:rPr>
          <w:lang w:val="fr-FR"/>
        </w:rPr>
        <w:t xml:space="preserve"> à la prise de décisions</w:t>
      </w:r>
      <w:r w:rsidR="00CB732D" w:rsidRPr="00C579D1">
        <w:rPr>
          <w:lang w:val="fr-FR"/>
        </w:rPr>
        <w:t xml:space="preserve"> </w:t>
      </w:r>
      <w:r w:rsidR="00760A59" w:rsidRPr="00C579D1">
        <w:rPr>
          <w:lang w:val="fr-FR"/>
        </w:rPr>
        <w:t>fondées sur des données factuelles</w:t>
      </w:r>
      <w:r w:rsidR="00FC4741" w:rsidRPr="00C579D1">
        <w:rPr>
          <w:lang w:val="fr-FR"/>
        </w:rPr>
        <w:t xml:space="preserve">; </w:t>
      </w:r>
      <w:r w:rsidR="00760A59" w:rsidRPr="00C579D1">
        <w:rPr>
          <w:lang w:val="fr-FR"/>
        </w:rPr>
        <w:t xml:space="preserve">les </w:t>
      </w:r>
      <w:r w:rsidR="00774CE4">
        <w:rPr>
          <w:lang w:val="fr-FR"/>
        </w:rPr>
        <w:t>R</w:t>
      </w:r>
      <w:r w:rsidR="00760A59" w:rsidRPr="00C579D1">
        <w:rPr>
          <w:lang w:val="fr-FR"/>
        </w:rPr>
        <w:t xml:space="preserve">apports </w:t>
      </w:r>
      <w:r w:rsidR="00774CE4">
        <w:rPr>
          <w:lang w:val="fr-FR"/>
        </w:rPr>
        <w:t xml:space="preserve">sur l’écart </w:t>
      </w:r>
      <w:r w:rsidR="005350C4" w:rsidRPr="00C579D1">
        <w:rPr>
          <w:lang w:val="fr-FR"/>
        </w:rPr>
        <w:t xml:space="preserve">en matière d’émissions </w:t>
      </w:r>
      <w:r w:rsidR="00774CE4">
        <w:rPr>
          <w:lang w:val="fr-FR"/>
        </w:rPr>
        <w:t xml:space="preserve">du PNUE </w:t>
      </w:r>
      <w:r w:rsidR="00760A59" w:rsidRPr="00C579D1">
        <w:rPr>
          <w:lang w:val="fr-FR"/>
        </w:rPr>
        <w:t>et le cinquième Rapport d’évaluation du Groupe d’experts intergouvernemental sur l’évolution du climat</w:t>
      </w:r>
      <w:r w:rsidR="00FC4741" w:rsidRPr="00C579D1">
        <w:rPr>
          <w:lang w:val="fr-FR"/>
        </w:rPr>
        <w:t xml:space="preserve">, </w:t>
      </w:r>
      <w:r w:rsidR="00760A59" w:rsidRPr="00C579D1">
        <w:rPr>
          <w:lang w:val="fr-FR"/>
        </w:rPr>
        <w:t>par exemple</w:t>
      </w:r>
      <w:r w:rsidR="00FC4741" w:rsidRPr="00C579D1">
        <w:rPr>
          <w:lang w:val="fr-FR"/>
        </w:rPr>
        <w:t xml:space="preserve">, </w:t>
      </w:r>
      <w:r w:rsidR="00760A59" w:rsidRPr="00C579D1">
        <w:rPr>
          <w:lang w:val="fr-FR"/>
        </w:rPr>
        <w:t>sont utilisés aux sessions de la Conférence des Parties à la</w:t>
      </w:r>
      <w:r w:rsidR="00FC4741" w:rsidRPr="00C579D1">
        <w:rPr>
          <w:lang w:val="fr-FR"/>
        </w:rPr>
        <w:t xml:space="preserve"> </w:t>
      </w:r>
      <w:r w:rsidR="00760A59" w:rsidRPr="00C579D1">
        <w:rPr>
          <w:lang w:val="fr-FR"/>
        </w:rPr>
        <w:t>Convention-cadre des Nations Unies sur les changements climatiques</w:t>
      </w:r>
      <w:r w:rsidR="00951795" w:rsidRPr="00C579D1">
        <w:rPr>
          <w:lang w:val="fr-FR"/>
        </w:rPr>
        <w:t>.</w:t>
      </w:r>
    </w:p>
    <w:p w:rsidR="00760A59" w:rsidRPr="00C579D1" w:rsidRDefault="00760A59" w:rsidP="00541B0D">
      <w:pPr>
        <w:pStyle w:val="Normalnumber"/>
        <w:tabs>
          <w:tab w:val="clear" w:pos="967"/>
          <w:tab w:val="clear" w:pos="1247"/>
          <w:tab w:val="clear" w:pos="1871"/>
          <w:tab w:val="left" w:pos="1843"/>
        </w:tabs>
        <w:ind w:left="1260"/>
        <w:rPr>
          <w:lang w:val="fr-FR"/>
        </w:rPr>
      </w:pPr>
      <w:r w:rsidRPr="00C579D1">
        <w:rPr>
          <w:lang w:val="fr-FR"/>
        </w:rPr>
        <w:t xml:space="preserve">Un exemple de partenariat clé </w:t>
      </w:r>
      <w:r w:rsidR="005817B8" w:rsidRPr="00C579D1">
        <w:rPr>
          <w:lang w:val="fr-FR"/>
        </w:rPr>
        <w:t>accordant une attention particulière aux données et aux informations permettant une prise de décisions efficace en vue d’un développement durable est donné par l’Alliance</w:t>
      </w:r>
      <w:r w:rsidRPr="00C579D1">
        <w:rPr>
          <w:lang w:val="fr-FR"/>
        </w:rPr>
        <w:t xml:space="preserve"> </w:t>
      </w:r>
      <w:r w:rsidR="005817B8" w:rsidRPr="00C579D1">
        <w:rPr>
          <w:lang w:val="fr-FR"/>
        </w:rPr>
        <w:t>« </w:t>
      </w:r>
      <w:r w:rsidRPr="00C579D1">
        <w:rPr>
          <w:lang w:val="fr-FR"/>
        </w:rPr>
        <w:t>Eye on Earth</w:t>
      </w:r>
      <w:r w:rsidR="005817B8" w:rsidRPr="00C579D1">
        <w:rPr>
          <w:lang w:val="fr-FR"/>
        </w:rPr>
        <w:t> »</w:t>
      </w:r>
      <w:r w:rsidRPr="00C579D1">
        <w:rPr>
          <w:lang w:val="fr-FR"/>
        </w:rPr>
        <w:t xml:space="preserve">, </w:t>
      </w:r>
      <w:r w:rsidR="005817B8" w:rsidRPr="00C579D1">
        <w:rPr>
          <w:lang w:val="fr-FR"/>
        </w:rPr>
        <w:t>dont le PNUE est membre</w:t>
      </w:r>
      <w:r w:rsidRPr="00C579D1">
        <w:rPr>
          <w:lang w:val="fr-FR"/>
        </w:rPr>
        <w:t xml:space="preserve">. </w:t>
      </w:r>
      <w:r w:rsidR="005817B8" w:rsidRPr="00C579D1">
        <w:rPr>
          <w:lang w:val="fr-FR"/>
        </w:rPr>
        <w:t>En octobre </w:t>
      </w:r>
      <w:r w:rsidRPr="00C579D1">
        <w:rPr>
          <w:lang w:val="fr-FR"/>
        </w:rPr>
        <w:t xml:space="preserve">2015, </w:t>
      </w:r>
      <w:r w:rsidR="005817B8" w:rsidRPr="00C579D1">
        <w:rPr>
          <w:lang w:val="fr-FR"/>
        </w:rPr>
        <w:t>le deuxième sommet « </w:t>
      </w:r>
      <w:r w:rsidRPr="00C579D1">
        <w:rPr>
          <w:lang w:val="fr-FR"/>
        </w:rPr>
        <w:t>Eye on Earth</w:t>
      </w:r>
      <w:r w:rsidR="005817B8" w:rsidRPr="00C579D1">
        <w:rPr>
          <w:lang w:val="fr-FR"/>
        </w:rPr>
        <w:t> » s’est tenu à</w:t>
      </w:r>
      <w:r w:rsidRPr="00C579D1">
        <w:rPr>
          <w:lang w:val="fr-FR"/>
        </w:rPr>
        <w:t xml:space="preserve"> Ab</w:t>
      </w:r>
      <w:r w:rsidR="005817B8" w:rsidRPr="00C579D1">
        <w:rPr>
          <w:lang w:val="fr-FR"/>
        </w:rPr>
        <w:t>ou </w:t>
      </w:r>
      <w:r w:rsidRPr="00C579D1">
        <w:rPr>
          <w:lang w:val="fr-FR"/>
        </w:rPr>
        <w:t xml:space="preserve">Dhabi. </w:t>
      </w:r>
      <w:r w:rsidR="005817B8" w:rsidRPr="00C579D1">
        <w:rPr>
          <w:lang w:val="fr-FR"/>
        </w:rPr>
        <w:t>Le Sommet a rassemblé des décideurs, des scientifiques</w:t>
      </w:r>
      <w:r w:rsidR="00836649" w:rsidRPr="00C579D1">
        <w:rPr>
          <w:lang w:val="fr-FR"/>
        </w:rPr>
        <w:t>, des chercheurs, des concepteurs de technologies, des associations militantes et des organisations non gouvernementales ainsi que des représentants d’organisations internationales</w:t>
      </w:r>
      <w:r w:rsidRPr="00C579D1">
        <w:rPr>
          <w:lang w:val="fr-FR"/>
        </w:rPr>
        <w:t xml:space="preserve">. </w:t>
      </w:r>
      <w:r w:rsidR="00836649" w:rsidRPr="00C579D1">
        <w:rPr>
          <w:lang w:val="fr-FR"/>
        </w:rPr>
        <w:t>Le Sommet a suscité un regain d’intérêt</w:t>
      </w:r>
      <w:r w:rsidR="00222369" w:rsidRPr="00C579D1">
        <w:rPr>
          <w:lang w:val="fr-FR"/>
        </w:rPr>
        <w:t xml:space="preserve"> pour le défi visant à recenser et fournir les données environnementales et socioéconomiques connexes nécessaires pour suivre les progrès accomplis dans la réalisation des objectifs de développement durable ainsi que pour le partage des connaissances entre les parties prenantes participant à la mise en œuvre du</w:t>
      </w:r>
      <w:r w:rsidRPr="00C579D1">
        <w:rPr>
          <w:lang w:val="fr-FR"/>
        </w:rPr>
        <w:t xml:space="preserve"> </w:t>
      </w:r>
      <w:r w:rsidR="00222369" w:rsidRPr="00C579D1">
        <w:rPr>
          <w:lang w:val="fr-FR"/>
        </w:rPr>
        <w:t>Programme de développement durable à l’horizon 2030</w:t>
      </w:r>
      <w:r w:rsidRPr="00C579D1">
        <w:rPr>
          <w:lang w:val="fr-FR"/>
        </w:rPr>
        <w:t>.</w:t>
      </w:r>
    </w:p>
    <w:p w:rsidR="006C4C5E" w:rsidRPr="00C579D1" w:rsidRDefault="004E1640" w:rsidP="00AE13B4">
      <w:pPr>
        <w:pStyle w:val="Normalnumber"/>
        <w:keepNext/>
        <w:keepLines/>
        <w:tabs>
          <w:tab w:val="clear" w:pos="967"/>
          <w:tab w:val="clear" w:pos="1247"/>
          <w:tab w:val="clear" w:pos="1871"/>
          <w:tab w:val="left" w:pos="1843"/>
        </w:tabs>
        <w:ind w:left="1259"/>
        <w:rPr>
          <w:lang w:val="fr-FR"/>
        </w:rPr>
      </w:pPr>
      <w:r w:rsidRPr="00C579D1">
        <w:rPr>
          <w:lang w:val="fr-FR"/>
        </w:rPr>
        <w:lastRenderedPageBreak/>
        <w:t>L’avis des scientifiques est fortement sollicité mais également souvent contesté</w:t>
      </w:r>
      <w:r w:rsidR="006C4C5E" w:rsidRPr="00C579D1">
        <w:rPr>
          <w:lang w:val="fr-FR"/>
        </w:rPr>
        <w:t>.</w:t>
      </w:r>
      <w:r w:rsidRPr="00C579D1">
        <w:rPr>
          <w:lang w:val="fr-FR"/>
        </w:rPr>
        <w:t xml:space="preserve"> Des changements climatiques à la cybersécurité, </w:t>
      </w:r>
      <w:r w:rsidR="003E2E34" w:rsidRPr="00C579D1">
        <w:rPr>
          <w:lang w:val="fr-FR"/>
        </w:rPr>
        <w:t>en passant par la pauvreté, les pandémies, l</w:t>
      </w:r>
      <w:r w:rsidR="003B1C72">
        <w:rPr>
          <w:lang w:val="fr-FR"/>
        </w:rPr>
        <w:t>es </w:t>
      </w:r>
      <w:r w:rsidRPr="00C579D1">
        <w:rPr>
          <w:lang w:val="fr-FR"/>
        </w:rPr>
        <w:t xml:space="preserve">technologies alimentaires </w:t>
      </w:r>
      <w:r w:rsidR="003E2E34" w:rsidRPr="00C579D1">
        <w:rPr>
          <w:lang w:val="fr-FR"/>
        </w:rPr>
        <w:t>et</w:t>
      </w:r>
      <w:r w:rsidRPr="00C579D1">
        <w:rPr>
          <w:lang w:val="fr-FR"/>
        </w:rPr>
        <w:t xml:space="preserve"> la fracturation hydraulique, les questions posées aux scientifiques, aux ingénieurs et à d’autres experts par les décideurs, les médias et le grand public ne cessent de se multiplier et </w:t>
      </w:r>
      <w:r w:rsidR="003E2E34" w:rsidRPr="00C579D1">
        <w:rPr>
          <w:lang w:val="fr-FR"/>
        </w:rPr>
        <w:t>de se complexifier</w:t>
      </w:r>
      <w:r w:rsidR="006C4C5E" w:rsidRPr="00C579D1">
        <w:rPr>
          <w:lang w:val="fr-FR"/>
        </w:rPr>
        <w:t>.</w:t>
      </w:r>
      <w:r w:rsidR="003E2E34" w:rsidRPr="00C579D1">
        <w:rPr>
          <w:lang w:val="fr-FR"/>
        </w:rPr>
        <w:t xml:space="preserve"> Par ailleurs, l’autorité et la légitimité des experts sont de plu</w:t>
      </w:r>
      <w:r w:rsidR="003B1C72">
        <w:rPr>
          <w:lang w:val="fr-FR"/>
        </w:rPr>
        <w:t>s en plus passées au crible, en </w:t>
      </w:r>
      <w:r w:rsidR="003E2E34" w:rsidRPr="00C579D1">
        <w:rPr>
          <w:lang w:val="fr-FR"/>
        </w:rPr>
        <w:t>particulier dans les domaines qui suscitent d’intenses débats tels que les changements climatiques, l’accès équitable aux ressources et les choix énergétiques</w:t>
      </w:r>
      <w:r w:rsidR="006C4C5E" w:rsidRPr="00C579D1">
        <w:rPr>
          <w:lang w:val="fr-FR"/>
        </w:rPr>
        <w:t xml:space="preserve">. </w:t>
      </w:r>
      <w:r w:rsidR="001E5008" w:rsidRPr="00C579D1">
        <w:rPr>
          <w:lang w:val="fr-FR"/>
        </w:rPr>
        <w:t>L’</w:t>
      </w:r>
      <w:r w:rsidR="006C4C5E" w:rsidRPr="00C579D1">
        <w:rPr>
          <w:lang w:val="fr-FR"/>
        </w:rPr>
        <w:t xml:space="preserve">International Network for Government Science Advice </w:t>
      </w:r>
      <w:r w:rsidR="001E5008" w:rsidRPr="00C579D1">
        <w:rPr>
          <w:lang w:val="fr-FR"/>
        </w:rPr>
        <w:t xml:space="preserve">a été créé récemment </w:t>
      </w:r>
      <w:r w:rsidR="00007D1D" w:rsidRPr="00C579D1">
        <w:rPr>
          <w:lang w:val="fr-FR"/>
        </w:rPr>
        <w:t xml:space="preserve">et compte parmi ses membres le </w:t>
      </w:r>
      <w:r w:rsidR="001E5008" w:rsidRPr="00C579D1">
        <w:rPr>
          <w:lang w:val="fr-FR"/>
        </w:rPr>
        <w:t>responsable scientifique du PNUE et de</w:t>
      </w:r>
      <w:r w:rsidR="00007D1D" w:rsidRPr="00C579D1">
        <w:rPr>
          <w:lang w:val="fr-FR"/>
        </w:rPr>
        <w:t>s</w:t>
      </w:r>
      <w:r w:rsidR="001E5008" w:rsidRPr="00C579D1">
        <w:rPr>
          <w:lang w:val="fr-FR"/>
        </w:rPr>
        <w:t xml:space="preserve"> conseillers scientifiques provenant de plus de </w:t>
      </w:r>
      <w:r w:rsidR="006C4C5E" w:rsidRPr="00C579D1">
        <w:rPr>
          <w:lang w:val="fr-FR"/>
        </w:rPr>
        <w:t>70</w:t>
      </w:r>
      <w:r w:rsidR="001E5008" w:rsidRPr="00C579D1">
        <w:rPr>
          <w:lang w:val="fr-FR"/>
        </w:rPr>
        <w:t> pays</w:t>
      </w:r>
      <w:r w:rsidR="006C4C5E" w:rsidRPr="00C579D1">
        <w:rPr>
          <w:lang w:val="fr-FR"/>
        </w:rPr>
        <w:t xml:space="preserve">. </w:t>
      </w:r>
      <w:r w:rsidR="003B1C72">
        <w:rPr>
          <w:lang w:val="fr-FR"/>
        </w:rPr>
        <w:t>Le </w:t>
      </w:r>
      <w:r w:rsidR="001E5008" w:rsidRPr="00C579D1">
        <w:rPr>
          <w:lang w:val="fr-FR"/>
        </w:rPr>
        <w:t xml:space="preserve">réseau vise à renforcer l’interface science-politique </w:t>
      </w:r>
      <w:r w:rsidR="0022581F" w:rsidRPr="00C579D1">
        <w:rPr>
          <w:lang w:val="fr-FR"/>
        </w:rPr>
        <w:t>au sein des</w:t>
      </w:r>
      <w:r w:rsidR="001E5008" w:rsidRPr="00C579D1">
        <w:rPr>
          <w:lang w:val="fr-FR"/>
        </w:rPr>
        <w:t xml:space="preserve"> gouvernements du monde entier</w:t>
      </w:r>
      <w:r w:rsidR="0022581F" w:rsidRPr="00C579D1">
        <w:rPr>
          <w:lang w:val="fr-FR"/>
        </w:rPr>
        <w:t xml:space="preserve"> et entreprend actuellement des évaluations de l’interface dans des cadres institutionnels dans différents domaines, notamment l’environnement</w:t>
      </w:r>
      <w:r w:rsidR="006C4C5E" w:rsidRPr="00C579D1">
        <w:rPr>
          <w:lang w:val="fr-FR"/>
        </w:rPr>
        <w:t>.</w:t>
      </w:r>
    </w:p>
    <w:p w:rsidR="006C4C5E" w:rsidRPr="00C579D1" w:rsidRDefault="00CB732D" w:rsidP="00FA789D">
      <w:pPr>
        <w:pStyle w:val="CH1"/>
        <w:keepNext w:val="0"/>
        <w:keepLines w:val="0"/>
        <w:rPr>
          <w:lang w:val="fr-FR"/>
        </w:rPr>
      </w:pPr>
      <w:r w:rsidRPr="00C579D1">
        <w:rPr>
          <w:lang w:val="fr-FR"/>
        </w:rPr>
        <w:tab/>
        <w:t>III.</w:t>
      </w:r>
      <w:r w:rsidRPr="00C579D1">
        <w:rPr>
          <w:lang w:val="fr-FR"/>
        </w:rPr>
        <w:tab/>
      </w:r>
      <w:r w:rsidR="00951795" w:rsidRPr="00C579D1">
        <w:rPr>
          <w:lang w:val="fr-FR"/>
        </w:rPr>
        <w:t>A</w:t>
      </w:r>
      <w:r w:rsidR="006C4C5E" w:rsidRPr="00C579D1">
        <w:rPr>
          <w:lang w:val="fr-FR"/>
        </w:rPr>
        <w:t>nalys</w:t>
      </w:r>
      <w:r w:rsidR="00774DBA" w:rsidRPr="00C579D1">
        <w:rPr>
          <w:lang w:val="fr-FR"/>
        </w:rPr>
        <w:t>e des lacunes en matière de données, d’informations et d’évaluations environnementales</w:t>
      </w:r>
    </w:p>
    <w:p w:rsidR="00DD069D" w:rsidRPr="00C579D1" w:rsidRDefault="00E01B44" w:rsidP="00541B0D">
      <w:pPr>
        <w:pStyle w:val="Normalnumber"/>
        <w:tabs>
          <w:tab w:val="clear" w:pos="967"/>
          <w:tab w:val="clear" w:pos="1247"/>
          <w:tab w:val="clear" w:pos="1871"/>
          <w:tab w:val="left" w:pos="1843"/>
        </w:tabs>
        <w:ind w:left="1260"/>
        <w:rPr>
          <w:lang w:val="fr-FR"/>
        </w:rPr>
      </w:pPr>
      <w:r w:rsidRPr="00C579D1">
        <w:rPr>
          <w:lang w:val="fr-FR"/>
        </w:rPr>
        <w:t>U</w:t>
      </w:r>
      <w:r w:rsidR="00774DBA" w:rsidRPr="00C579D1">
        <w:rPr>
          <w:lang w:val="fr-FR"/>
        </w:rPr>
        <w:t>n rapport d’analyse des lacunes est actuellement en cours</w:t>
      </w:r>
      <w:r w:rsidRPr="00C579D1">
        <w:rPr>
          <w:lang w:val="fr-FR"/>
        </w:rPr>
        <w:t xml:space="preserve"> d’élaboration, l’évaluation de la question des lacunes en matière de données étant abordée dans les évaluations régionales et mondiales servant de base au rapport </w:t>
      </w:r>
      <w:r w:rsidR="00C475B9" w:rsidRPr="00C579D1">
        <w:rPr>
          <w:lang w:val="fr-FR"/>
        </w:rPr>
        <w:t>GEO-6.</w:t>
      </w:r>
      <w:r w:rsidR="00CB732D" w:rsidRPr="00C579D1">
        <w:rPr>
          <w:lang w:val="fr-FR"/>
        </w:rPr>
        <w:t xml:space="preserve"> </w:t>
      </w:r>
      <w:r w:rsidRPr="00C579D1">
        <w:rPr>
          <w:lang w:val="fr-FR"/>
        </w:rPr>
        <w:t>Un inventaire des lacunes en matière de données est également établi dans le cadre des travaux que le PNUE entreprend concernant la disponibilité de données en rapport avec les indicateurs relatifs aux objectifs de développement durable</w:t>
      </w:r>
      <w:r w:rsidR="006C4C5E" w:rsidRPr="00C579D1">
        <w:rPr>
          <w:lang w:val="fr-FR"/>
        </w:rPr>
        <w:t xml:space="preserve">. </w:t>
      </w:r>
    </w:p>
    <w:p w:rsidR="006C4C5E" w:rsidRPr="00C579D1" w:rsidRDefault="00E01B44" w:rsidP="00541B0D">
      <w:pPr>
        <w:pStyle w:val="Normalnumber"/>
        <w:tabs>
          <w:tab w:val="clear" w:pos="967"/>
          <w:tab w:val="clear" w:pos="1247"/>
          <w:tab w:val="clear" w:pos="1871"/>
          <w:tab w:val="left" w:pos="1843"/>
        </w:tabs>
        <w:ind w:left="1260"/>
        <w:rPr>
          <w:lang w:val="fr-FR"/>
        </w:rPr>
      </w:pPr>
      <w:r w:rsidRPr="00C579D1">
        <w:rPr>
          <w:lang w:val="fr-FR"/>
        </w:rPr>
        <w:t>Le PNUE effectue également d’</w:t>
      </w:r>
      <w:r w:rsidR="00153E03" w:rsidRPr="00C579D1">
        <w:rPr>
          <w:lang w:val="fr-FR"/>
        </w:rPr>
        <w:t>importants travaux visant à amélio</w:t>
      </w:r>
      <w:r w:rsidR="003B1C72">
        <w:rPr>
          <w:lang w:val="fr-FR"/>
        </w:rPr>
        <w:t>rer la qualité des données, des </w:t>
      </w:r>
      <w:r w:rsidR="00153E03" w:rsidRPr="00C579D1">
        <w:rPr>
          <w:lang w:val="fr-FR"/>
        </w:rPr>
        <w:t>métadonnées et des définitions ainsi que d’autres travaux méthodologiques, notamment concernant l’utilisation de mégadonnées pour la surveillance de l’environnement, la mesure de la dimension environnementale des objectifs de développement durable et la mise en place d’un vaste système</w:t>
      </w:r>
      <w:r w:rsidR="00801359" w:rsidRPr="00C579D1">
        <w:rPr>
          <w:lang w:val="fr-FR"/>
        </w:rPr>
        <w:t xml:space="preserve"> d’ontologies concernant les objectifs de développement durable</w:t>
      </w:r>
      <w:r w:rsidR="00DD069D" w:rsidRPr="00C579D1">
        <w:rPr>
          <w:lang w:val="fr-FR"/>
        </w:rPr>
        <w:t xml:space="preserve">. </w:t>
      </w:r>
      <w:r w:rsidR="0008208E" w:rsidRPr="00C579D1">
        <w:rPr>
          <w:lang w:val="fr-FR"/>
        </w:rPr>
        <w:t xml:space="preserve">L’ontologie </w:t>
      </w:r>
      <w:r w:rsidR="00BA522A">
        <w:rPr>
          <w:lang w:val="fr-FR"/>
        </w:rPr>
        <w:t>sur les objectifs de développement durable</w:t>
      </w:r>
      <w:r w:rsidR="0008208E" w:rsidRPr="00C579D1">
        <w:rPr>
          <w:lang w:val="fr-FR"/>
        </w:rPr>
        <w:t xml:space="preserve"> </w:t>
      </w:r>
      <w:r w:rsidR="00801359" w:rsidRPr="00C579D1">
        <w:rPr>
          <w:lang w:val="fr-FR"/>
        </w:rPr>
        <w:t>a été lancé</w:t>
      </w:r>
      <w:r w:rsidR="007A0CAC" w:rsidRPr="00C579D1">
        <w:rPr>
          <w:lang w:val="fr-FR"/>
        </w:rPr>
        <w:t>e</w:t>
      </w:r>
      <w:r w:rsidR="00801359" w:rsidRPr="00C579D1">
        <w:rPr>
          <w:lang w:val="fr-FR"/>
        </w:rPr>
        <w:t xml:space="preserve"> récemment sur « Le PNUE en direct » </w:t>
      </w:r>
      <w:r w:rsidR="00455A68" w:rsidRPr="00C579D1">
        <w:rPr>
          <w:lang w:val="fr-FR"/>
        </w:rPr>
        <w:t>dans le cadre de la réponse du</w:t>
      </w:r>
      <w:r w:rsidR="00DD069D" w:rsidRPr="00C579D1">
        <w:rPr>
          <w:lang w:val="fr-FR"/>
        </w:rPr>
        <w:t xml:space="preserve"> </w:t>
      </w:r>
      <w:r w:rsidR="00A762EF" w:rsidRPr="00C579D1">
        <w:rPr>
          <w:lang w:val="fr-FR"/>
        </w:rPr>
        <w:t>Conseil des chefs de secrétariat des organismes des Nations Unies pour la coordination à la révolution des données</w:t>
      </w:r>
      <w:r w:rsidR="006C4C5E" w:rsidRPr="00C579D1">
        <w:rPr>
          <w:lang w:val="fr-FR"/>
        </w:rPr>
        <w:t>.</w:t>
      </w:r>
    </w:p>
    <w:p w:rsidR="006C4C5E" w:rsidRPr="00C579D1" w:rsidRDefault="00A762EF" w:rsidP="00541B0D">
      <w:pPr>
        <w:pStyle w:val="Normalnumber"/>
        <w:tabs>
          <w:tab w:val="clear" w:pos="967"/>
          <w:tab w:val="clear" w:pos="1247"/>
          <w:tab w:val="clear" w:pos="1871"/>
          <w:tab w:val="left" w:pos="1843"/>
        </w:tabs>
        <w:ind w:left="1260"/>
        <w:rPr>
          <w:lang w:val="fr-FR"/>
        </w:rPr>
      </w:pPr>
      <w:r w:rsidRPr="00C579D1">
        <w:rPr>
          <w:lang w:val="fr-FR"/>
        </w:rPr>
        <w:t xml:space="preserve">Parmi les différents groupes consultatifs créés dans le cadre du processus </w:t>
      </w:r>
      <w:r w:rsidR="00C22CE6" w:rsidRPr="00C579D1">
        <w:rPr>
          <w:lang w:val="fr-FR"/>
        </w:rPr>
        <w:t>GEO-6</w:t>
      </w:r>
      <w:r w:rsidR="006C4C5E" w:rsidRPr="00C579D1">
        <w:rPr>
          <w:lang w:val="fr-FR"/>
        </w:rPr>
        <w:t xml:space="preserve">, </w:t>
      </w:r>
      <w:r w:rsidR="00DE0E95" w:rsidRPr="00C579D1">
        <w:rPr>
          <w:lang w:val="fr-FR"/>
        </w:rPr>
        <w:t>le Groupe de travail sur les méthode d’évaluation, les données et les informations</w:t>
      </w:r>
      <w:r w:rsidR="00527F9A" w:rsidRPr="00C579D1">
        <w:rPr>
          <w:lang w:val="fr-FR"/>
        </w:rPr>
        <w:t>,</w:t>
      </w:r>
      <w:r w:rsidR="00082330" w:rsidRPr="00C579D1">
        <w:rPr>
          <w:lang w:val="fr-FR"/>
        </w:rPr>
        <w:t xml:space="preserve"> </w:t>
      </w:r>
      <w:r w:rsidR="00DE0E95" w:rsidRPr="00C579D1">
        <w:rPr>
          <w:lang w:val="fr-FR"/>
        </w:rPr>
        <w:t>composé de certains des experts les plus</w:t>
      </w:r>
      <w:r w:rsidR="006C4C5E" w:rsidRPr="00C579D1">
        <w:rPr>
          <w:lang w:val="fr-FR"/>
        </w:rPr>
        <w:t xml:space="preserve"> </w:t>
      </w:r>
      <w:r w:rsidR="00DE0E95" w:rsidRPr="00C579D1">
        <w:rPr>
          <w:lang w:val="fr-FR"/>
        </w:rPr>
        <w:t>compétents en la matière, a formé des équipes spéciales chargées d’examiner les lacunes en matière de données et d’informations environnementales ainsi que des méthodes innovantes permettant d’améliorer les évaluations environnementales</w:t>
      </w:r>
      <w:r w:rsidR="006C4C5E" w:rsidRPr="00C579D1">
        <w:rPr>
          <w:lang w:val="fr-FR"/>
        </w:rPr>
        <w:t>.</w:t>
      </w:r>
      <w:r w:rsidR="00DE0E95" w:rsidRPr="00C579D1">
        <w:rPr>
          <w:lang w:val="fr-FR"/>
        </w:rPr>
        <w:t xml:space="preserve"> Les contributions du Groupe faciliteront l’élaboration d’une série de directives</w:t>
      </w:r>
      <w:r w:rsidR="00E85A3C" w:rsidRPr="00C579D1">
        <w:rPr>
          <w:lang w:val="fr-FR"/>
        </w:rPr>
        <w:t xml:space="preserve"> révisées concernant les évaluations internationales intégrées et appuieront l’établissement du rapport d’analyse des lacunes en matière de données et d’informations</w:t>
      </w:r>
      <w:r w:rsidR="006C4C5E" w:rsidRPr="00C579D1">
        <w:rPr>
          <w:lang w:val="fr-FR"/>
        </w:rPr>
        <w:t>.</w:t>
      </w:r>
    </w:p>
    <w:p w:rsidR="006C4C5E" w:rsidRPr="00C579D1" w:rsidRDefault="00E85A3C" w:rsidP="00541B0D">
      <w:pPr>
        <w:pStyle w:val="Normalnumber"/>
        <w:tabs>
          <w:tab w:val="clear" w:pos="967"/>
          <w:tab w:val="clear" w:pos="1247"/>
          <w:tab w:val="clear" w:pos="1871"/>
          <w:tab w:val="left" w:pos="1843"/>
        </w:tabs>
        <w:ind w:left="1260"/>
        <w:rPr>
          <w:lang w:val="fr-FR"/>
        </w:rPr>
      </w:pPr>
      <w:r w:rsidRPr="00C579D1">
        <w:rPr>
          <w:lang w:val="fr-FR"/>
        </w:rPr>
        <w:t>Le PNUE fournira un aperçu de la dimension environnementale du suivi de la réalisation des objectifs de développement durable à l’Assemblée des Nations Unies pour l’environnement à sa deuxième session</w:t>
      </w:r>
      <w:r w:rsidR="006C4C5E" w:rsidRPr="00C579D1">
        <w:rPr>
          <w:lang w:val="fr-FR"/>
        </w:rPr>
        <w:t>.</w:t>
      </w:r>
    </w:p>
    <w:p w:rsidR="006C4C5E" w:rsidRPr="00C579D1" w:rsidRDefault="00CB732D" w:rsidP="00FA789D">
      <w:pPr>
        <w:pStyle w:val="CH1"/>
        <w:keepNext w:val="0"/>
        <w:keepLines w:val="0"/>
        <w:rPr>
          <w:lang w:val="fr-FR"/>
        </w:rPr>
      </w:pPr>
      <w:r w:rsidRPr="00C579D1">
        <w:rPr>
          <w:lang w:val="fr-FR"/>
        </w:rPr>
        <w:tab/>
        <w:t>IV.</w:t>
      </w:r>
      <w:r w:rsidRPr="00C579D1">
        <w:rPr>
          <w:lang w:val="fr-FR"/>
        </w:rPr>
        <w:tab/>
      </w:r>
      <w:r w:rsidR="006C4C5E" w:rsidRPr="00C579D1">
        <w:rPr>
          <w:lang w:val="fr-FR"/>
        </w:rPr>
        <w:t>Progr</w:t>
      </w:r>
      <w:r w:rsidR="00E85A3C" w:rsidRPr="00C579D1">
        <w:rPr>
          <w:lang w:val="fr-FR"/>
        </w:rPr>
        <w:t xml:space="preserve">ès accomplis dans la réalisation des objectifs convenus </w:t>
      </w:r>
      <w:r w:rsidR="00541B0D" w:rsidRPr="00C579D1">
        <w:rPr>
          <w:lang w:val="fr-FR"/>
        </w:rPr>
        <w:br/>
      </w:r>
      <w:r w:rsidR="00E85A3C" w:rsidRPr="00C579D1">
        <w:rPr>
          <w:lang w:val="fr-FR"/>
        </w:rPr>
        <w:t>au niveau international et</w:t>
      </w:r>
      <w:r w:rsidR="006C4C5E" w:rsidRPr="00C579D1">
        <w:rPr>
          <w:lang w:val="fr-FR"/>
        </w:rPr>
        <w:t xml:space="preserve"> recomm</w:t>
      </w:r>
      <w:r w:rsidR="00E85A3C" w:rsidRPr="00C579D1">
        <w:rPr>
          <w:lang w:val="fr-FR"/>
        </w:rPr>
        <w:t>a</w:t>
      </w:r>
      <w:r w:rsidR="006C4C5E" w:rsidRPr="00C579D1">
        <w:rPr>
          <w:lang w:val="fr-FR"/>
        </w:rPr>
        <w:t xml:space="preserve">ndations </w:t>
      </w:r>
      <w:r w:rsidR="00E85A3C" w:rsidRPr="00C579D1">
        <w:rPr>
          <w:lang w:val="fr-FR"/>
        </w:rPr>
        <w:t xml:space="preserve">concernant </w:t>
      </w:r>
      <w:r w:rsidR="00541B0D" w:rsidRPr="00C579D1">
        <w:rPr>
          <w:lang w:val="fr-FR"/>
        </w:rPr>
        <w:br/>
      </w:r>
      <w:r w:rsidR="00E85A3C" w:rsidRPr="00C579D1">
        <w:rPr>
          <w:lang w:val="fr-FR"/>
        </w:rPr>
        <w:t>les instruments politiques</w:t>
      </w:r>
      <w:r w:rsidR="006C4C5E" w:rsidRPr="00C579D1">
        <w:rPr>
          <w:lang w:val="fr-FR"/>
        </w:rPr>
        <w:t xml:space="preserve"> </w:t>
      </w:r>
      <w:r w:rsidR="00E85A3C" w:rsidRPr="00C579D1">
        <w:rPr>
          <w:lang w:val="fr-FR"/>
        </w:rPr>
        <w:t xml:space="preserve">permettant de renforcer l’interface science-politique </w:t>
      </w:r>
    </w:p>
    <w:p w:rsidR="006C4C5E" w:rsidRPr="00C579D1" w:rsidRDefault="00E85A3C" w:rsidP="00541B0D">
      <w:pPr>
        <w:pStyle w:val="Normalnumber"/>
        <w:tabs>
          <w:tab w:val="clear" w:pos="967"/>
          <w:tab w:val="clear" w:pos="1247"/>
          <w:tab w:val="clear" w:pos="1871"/>
          <w:tab w:val="left" w:pos="1843"/>
        </w:tabs>
        <w:ind w:left="1260"/>
        <w:rPr>
          <w:lang w:val="fr-FR"/>
        </w:rPr>
      </w:pPr>
      <w:r w:rsidRPr="00C579D1">
        <w:rPr>
          <w:lang w:val="fr-FR"/>
        </w:rPr>
        <w:t xml:space="preserve">Les processus d’évaluation mondiale, régionale et thématique comprennent des efforts visant à </w:t>
      </w:r>
      <w:r w:rsidR="00CD724F" w:rsidRPr="00C579D1">
        <w:rPr>
          <w:lang w:val="fr-FR"/>
        </w:rPr>
        <w:t>recenser des modèles de réussite de pays renforçant l’interface science-politique</w:t>
      </w:r>
      <w:r w:rsidR="006C4C5E" w:rsidRPr="00C579D1">
        <w:rPr>
          <w:lang w:val="fr-FR"/>
        </w:rPr>
        <w:t>.</w:t>
      </w:r>
      <w:r w:rsidR="00CD724F" w:rsidRPr="00C579D1">
        <w:rPr>
          <w:lang w:val="fr-FR"/>
        </w:rPr>
        <w:t xml:space="preserve"> Les données sont difficiles à recueillir en raison de difficultés d’attribution mais des recommandations et des idées concernant des instruments politiques mondiaux et internationaux sont actuellement formulées sur la base de l’expérience acquise aux niveaux national et régional</w:t>
      </w:r>
      <w:r w:rsidR="006C4C5E" w:rsidRPr="00C579D1">
        <w:rPr>
          <w:lang w:val="fr-FR"/>
        </w:rPr>
        <w:t>.</w:t>
      </w:r>
      <w:r w:rsidR="00CB732D" w:rsidRPr="00C579D1">
        <w:rPr>
          <w:lang w:val="fr-FR"/>
        </w:rPr>
        <w:t xml:space="preserve"> </w:t>
      </w:r>
    </w:p>
    <w:p w:rsidR="006C4C5E" w:rsidRPr="00C579D1" w:rsidRDefault="006C4C5E" w:rsidP="003475BD">
      <w:pPr>
        <w:pStyle w:val="CH2"/>
        <w:rPr>
          <w:lang w:val="fr-FR"/>
        </w:rPr>
      </w:pPr>
      <w:r w:rsidRPr="00C579D1">
        <w:rPr>
          <w:lang w:val="fr-FR"/>
        </w:rPr>
        <w:lastRenderedPageBreak/>
        <w:tab/>
        <w:t>A.</w:t>
      </w:r>
      <w:r w:rsidRPr="00C579D1">
        <w:rPr>
          <w:lang w:val="fr-FR"/>
        </w:rPr>
        <w:tab/>
      </w:r>
      <w:r w:rsidR="00CD724F" w:rsidRPr="00C579D1">
        <w:rPr>
          <w:lang w:val="fr-FR"/>
        </w:rPr>
        <w:t>Mesurer les progrès accomplis</w:t>
      </w:r>
      <w:r w:rsidR="00132118" w:rsidRPr="00C579D1">
        <w:rPr>
          <w:lang w:val="fr-FR"/>
        </w:rPr>
        <w:t xml:space="preserve"> dans la réalisation des objectifs et </w:t>
      </w:r>
      <w:r w:rsidR="00BA522A">
        <w:rPr>
          <w:lang w:val="fr-FR"/>
        </w:rPr>
        <w:t>cibles</w:t>
      </w:r>
      <w:r w:rsidR="00132118" w:rsidRPr="00C579D1">
        <w:rPr>
          <w:lang w:val="fr-FR"/>
        </w:rPr>
        <w:t xml:space="preserve"> environnementaux convenus au niveau international </w:t>
      </w:r>
    </w:p>
    <w:p w:rsidR="006C4C5E" w:rsidRPr="00C579D1" w:rsidRDefault="00132118" w:rsidP="003475BD">
      <w:pPr>
        <w:pStyle w:val="Normalnumber"/>
        <w:keepNext/>
        <w:keepLines/>
        <w:tabs>
          <w:tab w:val="clear" w:pos="967"/>
          <w:tab w:val="clear" w:pos="1247"/>
          <w:tab w:val="clear" w:pos="1871"/>
          <w:tab w:val="left" w:pos="1843"/>
        </w:tabs>
        <w:ind w:left="1260"/>
        <w:rPr>
          <w:lang w:val="fr-FR"/>
        </w:rPr>
      </w:pPr>
      <w:r w:rsidRPr="00C579D1">
        <w:rPr>
          <w:lang w:val="fr-FR"/>
        </w:rPr>
        <w:t>Le PNUE</w:t>
      </w:r>
      <w:r w:rsidR="00C475B9" w:rsidRPr="00C579D1">
        <w:rPr>
          <w:lang w:val="fr-FR"/>
        </w:rPr>
        <w:t>,</w:t>
      </w:r>
      <w:r w:rsidR="006C4C5E" w:rsidRPr="00C579D1">
        <w:rPr>
          <w:lang w:val="fr-FR"/>
        </w:rPr>
        <w:t xml:space="preserve"> </w:t>
      </w:r>
      <w:r w:rsidR="00BA7C69" w:rsidRPr="00C579D1">
        <w:rPr>
          <w:lang w:val="fr-FR"/>
        </w:rPr>
        <w:t>au moyen d’une page</w:t>
      </w:r>
      <w:r w:rsidR="006F0DD1" w:rsidRPr="00C579D1">
        <w:rPr>
          <w:lang w:val="fr-FR"/>
        </w:rPr>
        <w:t xml:space="preserve"> web</w:t>
      </w:r>
      <w:r w:rsidR="00BA7C69" w:rsidRPr="00C579D1">
        <w:rPr>
          <w:lang w:val="fr-FR"/>
        </w:rPr>
        <w:t xml:space="preserve"> </w:t>
      </w:r>
      <w:r w:rsidR="006F0DD1" w:rsidRPr="00C579D1">
        <w:rPr>
          <w:lang w:val="fr-FR"/>
        </w:rPr>
        <w:t>de la plateforme</w:t>
      </w:r>
      <w:r w:rsidR="00BA7C69" w:rsidRPr="00C579D1">
        <w:rPr>
          <w:lang w:val="fr-FR"/>
        </w:rPr>
        <w:t xml:space="preserve"> « </w:t>
      </w:r>
      <w:r w:rsidR="006F0DD1" w:rsidRPr="00C579D1">
        <w:rPr>
          <w:lang w:val="fr-FR"/>
        </w:rPr>
        <w:t xml:space="preserve">Le </w:t>
      </w:r>
      <w:r w:rsidR="00BA7C69" w:rsidRPr="00C579D1">
        <w:rPr>
          <w:lang w:val="fr-FR"/>
        </w:rPr>
        <w:t>PNUE en direct » dédiée à</w:t>
      </w:r>
      <w:r w:rsidR="00C475B9" w:rsidRPr="00C579D1">
        <w:rPr>
          <w:lang w:val="fr-FR"/>
        </w:rPr>
        <w:t xml:space="preserve"> </w:t>
      </w:r>
      <w:r w:rsidR="00BA7C69" w:rsidRPr="00C579D1">
        <w:rPr>
          <w:lang w:val="fr-FR"/>
        </w:rPr>
        <w:t>ce sujet, continue de suivre les progrès accomplis dans la réalisation des objectifs environnementaux convenus au niveau international des accords multilatéraux sur l’environnement</w:t>
      </w:r>
      <w:r w:rsidR="00C475B9" w:rsidRPr="00C579D1">
        <w:rPr>
          <w:lang w:val="fr-FR"/>
        </w:rPr>
        <w:t xml:space="preserve"> </w:t>
      </w:r>
      <w:r w:rsidR="00BA7C69" w:rsidRPr="00C579D1">
        <w:rPr>
          <w:lang w:val="fr-FR"/>
        </w:rPr>
        <w:t xml:space="preserve">ainsi que la participation à ces accords par l’intermédiaire </w:t>
      </w:r>
      <w:r w:rsidR="00A252A6" w:rsidRPr="00C579D1">
        <w:rPr>
          <w:lang w:val="fr-FR"/>
        </w:rPr>
        <w:t>du Portail d’information des Nations Unies sur les accords multilatéraux sur l’environnement (InfoMEA</w:t>
      </w:r>
      <w:r w:rsidR="00930051" w:rsidRPr="00C579D1">
        <w:rPr>
          <w:lang w:val="fr-FR"/>
        </w:rPr>
        <w:t>)</w:t>
      </w:r>
      <w:r w:rsidR="001D6373" w:rsidRPr="00C579D1">
        <w:rPr>
          <w:rStyle w:val="FootnoteReference"/>
          <w:lang w:val="fr-FR"/>
        </w:rPr>
        <w:footnoteReference w:id="7"/>
      </w:r>
      <w:r w:rsidR="001D6373" w:rsidRPr="00C579D1">
        <w:rPr>
          <w:lang w:val="fr-FR"/>
        </w:rPr>
        <w:t>.</w:t>
      </w:r>
    </w:p>
    <w:p w:rsidR="006C4C5E" w:rsidRPr="00C579D1" w:rsidRDefault="00F541D7" w:rsidP="00541B0D">
      <w:pPr>
        <w:pStyle w:val="Normalnumber"/>
        <w:tabs>
          <w:tab w:val="clear" w:pos="967"/>
          <w:tab w:val="clear" w:pos="1247"/>
          <w:tab w:val="clear" w:pos="1871"/>
          <w:tab w:val="left" w:pos="1843"/>
        </w:tabs>
        <w:ind w:left="1260"/>
        <w:rPr>
          <w:lang w:val="fr-FR"/>
        </w:rPr>
      </w:pPr>
      <w:r w:rsidRPr="00C579D1">
        <w:rPr>
          <w:lang w:val="fr-FR"/>
        </w:rPr>
        <w:t xml:space="preserve">Les évaluations régionales et mondiales </w:t>
      </w:r>
      <w:r w:rsidR="0000026D" w:rsidRPr="00C579D1">
        <w:rPr>
          <w:lang w:val="fr-FR"/>
        </w:rPr>
        <w:t>réalisées actuellement</w:t>
      </w:r>
      <w:r w:rsidRPr="00C579D1">
        <w:rPr>
          <w:lang w:val="fr-FR"/>
        </w:rPr>
        <w:t xml:space="preserve"> </w:t>
      </w:r>
      <w:r w:rsidR="00786D06" w:rsidRPr="00C579D1">
        <w:rPr>
          <w:lang w:val="fr-FR"/>
        </w:rPr>
        <w:t>aux fins de l’établissement du</w:t>
      </w:r>
      <w:r w:rsidRPr="00C579D1">
        <w:rPr>
          <w:lang w:val="fr-FR"/>
        </w:rPr>
        <w:t xml:space="preserve"> sixième rapport </w:t>
      </w:r>
      <w:r w:rsidR="00BA522A">
        <w:rPr>
          <w:lang w:val="fr-FR"/>
        </w:rPr>
        <w:t>de la s</w:t>
      </w:r>
      <w:r w:rsidR="001D6373" w:rsidRPr="00C579D1">
        <w:rPr>
          <w:lang w:val="fr-FR"/>
        </w:rPr>
        <w:t xml:space="preserve">érie </w:t>
      </w:r>
      <w:r w:rsidR="001D6373" w:rsidRPr="00C579D1">
        <w:rPr>
          <w:i/>
          <w:lang w:val="fr-FR"/>
        </w:rPr>
        <w:t>L’A</w:t>
      </w:r>
      <w:r w:rsidRPr="00C579D1">
        <w:rPr>
          <w:i/>
          <w:lang w:val="fr-FR"/>
        </w:rPr>
        <w:t>venir de l’environnement mondial</w:t>
      </w:r>
      <w:r w:rsidRPr="00C579D1">
        <w:rPr>
          <w:lang w:val="fr-FR"/>
        </w:rPr>
        <w:t xml:space="preserve"> examinent les progrès accomplis dans</w:t>
      </w:r>
      <w:r w:rsidR="00951795" w:rsidRPr="00C579D1">
        <w:rPr>
          <w:lang w:val="fr-FR"/>
        </w:rPr>
        <w:t xml:space="preserve"> </w:t>
      </w:r>
      <w:r w:rsidRPr="00C579D1">
        <w:rPr>
          <w:lang w:val="fr-FR"/>
        </w:rPr>
        <w:t xml:space="preserve">l’élaboration des politiques </w:t>
      </w:r>
      <w:r w:rsidR="0000026D" w:rsidRPr="00C579D1">
        <w:rPr>
          <w:lang w:val="fr-FR"/>
        </w:rPr>
        <w:t>nationales</w:t>
      </w:r>
      <w:r w:rsidRPr="00C579D1">
        <w:rPr>
          <w:lang w:val="fr-FR"/>
        </w:rPr>
        <w:t xml:space="preserve"> </w:t>
      </w:r>
      <w:r w:rsidR="0000026D" w:rsidRPr="00C579D1">
        <w:rPr>
          <w:lang w:val="fr-FR"/>
        </w:rPr>
        <w:t xml:space="preserve">visant à </w:t>
      </w:r>
      <w:r w:rsidRPr="00C579D1">
        <w:rPr>
          <w:lang w:val="fr-FR"/>
        </w:rPr>
        <w:t>atteindre les objectifs et buts environnementaux aux niveaux mondial et régional</w:t>
      </w:r>
      <w:r w:rsidR="006C4C5E" w:rsidRPr="00C579D1">
        <w:rPr>
          <w:lang w:val="fr-FR"/>
        </w:rPr>
        <w:t>.</w:t>
      </w:r>
      <w:r w:rsidRPr="00C579D1">
        <w:rPr>
          <w:lang w:val="fr-FR"/>
        </w:rPr>
        <w:t xml:space="preserve"> Les évaluations mondiales et thématiques en cours, notamment celles concernant la qualité de l’air, l’écart en</w:t>
      </w:r>
      <w:r w:rsidR="002E62B6" w:rsidRPr="00C579D1">
        <w:rPr>
          <w:lang w:val="fr-FR"/>
        </w:rPr>
        <w:t xml:space="preserve"> matière d’émissions </w:t>
      </w:r>
      <w:r w:rsidRPr="00C579D1">
        <w:rPr>
          <w:lang w:val="fr-FR"/>
        </w:rPr>
        <w:t xml:space="preserve">et la qualité de l’eau, commencent également à étendre </w:t>
      </w:r>
      <w:r w:rsidR="00882440" w:rsidRPr="00C579D1">
        <w:rPr>
          <w:lang w:val="fr-FR"/>
        </w:rPr>
        <w:t xml:space="preserve">leur portée à l’analyse des progrès accomplis dans la réalisation des objectifs </w:t>
      </w:r>
      <w:r w:rsidR="00BA522A">
        <w:rPr>
          <w:lang w:val="fr-FR"/>
        </w:rPr>
        <w:t xml:space="preserve">et cibles </w:t>
      </w:r>
      <w:r w:rsidR="00882440" w:rsidRPr="00C579D1">
        <w:rPr>
          <w:lang w:val="fr-FR"/>
        </w:rPr>
        <w:t>de développement durable</w:t>
      </w:r>
      <w:r w:rsidR="006C4C5E" w:rsidRPr="00C579D1">
        <w:rPr>
          <w:lang w:val="fr-FR"/>
        </w:rPr>
        <w:t>.</w:t>
      </w:r>
    </w:p>
    <w:p w:rsidR="006C4C5E" w:rsidRPr="00C579D1" w:rsidRDefault="00882440" w:rsidP="00541B0D">
      <w:pPr>
        <w:pStyle w:val="Normalnumber"/>
        <w:tabs>
          <w:tab w:val="clear" w:pos="967"/>
          <w:tab w:val="clear" w:pos="1247"/>
          <w:tab w:val="clear" w:pos="1871"/>
          <w:tab w:val="left" w:pos="1843"/>
        </w:tabs>
        <w:ind w:left="1260"/>
        <w:rPr>
          <w:lang w:val="fr-FR"/>
        </w:rPr>
      </w:pPr>
      <w:r w:rsidRPr="00C579D1">
        <w:rPr>
          <w:lang w:val="fr-FR"/>
        </w:rPr>
        <w:t>Dans le cadre de l’appui fourni par</w:t>
      </w:r>
      <w:r w:rsidR="006C4C5E" w:rsidRPr="00C579D1">
        <w:rPr>
          <w:lang w:val="fr-FR"/>
        </w:rPr>
        <w:t xml:space="preserve"> </w:t>
      </w:r>
      <w:r w:rsidR="00BA522A">
        <w:rPr>
          <w:lang w:val="fr-FR"/>
        </w:rPr>
        <w:t>la Commission de</w:t>
      </w:r>
      <w:r w:rsidRPr="00C579D1">
        <w:rPr>
          <w:lang w:val="fr-FR"/>
        </w:rPr>
        <w:t xml:space="preserve"> statistique de l’O</w:t>
      </w:r>
      <w:r w:rsidR="00BA522A">
        <w:rPr>
          <w:lang w:val="fr-FR"/>
        </w:rPr>
        <w:t xml:space="preserve">NU </w:t>
      </w:r>
      <w:r w:rsidRPr="00C579D1">
        <w:rPr>
          <w:lang w:val="fr-FR"/>
        </w:rPr>
        <w:t>au</w:t>
      </w:r>
      <w:r w:rsidR="006C4C5E" w:rsidRPr="00C579D1">
        <w:rPr>
          <w:lang w:val="fr-FR"/>
        </w:rPr>
        <w:t xml:space="preserve"> </w:t>
      </w:r>
      <w:r w:rsidRPr="00C579D1">
        <w:rPr>
          <w:lang w:val="fr-FR"/>
        </w:rPr>
        <w:t>Programme de développement durable à l’horizon 2030 et des travaux du Groupe d’experts des Nations Unies et de l’extérieur chargé des indicateurs relatifs aux objectifs de développement durable</w:t>
      </w:r>
      <w:r w:rsidR="006C4C5E" w:rsidRPr="00C579D1">
        <w:rPr>
          <w:lang w:val="fr-FR"/>
        </w:rPr>
        <w:t>,</w:t>
      </w:r>
      <w:r w:rsidR="0000026D" w:rsidRPr="00C579D1">
        <w:rPr>
          <w:lang w:val="fr-FR"/>
        </w:rPr>
        <w:t xml:space="preserve"> l</w:t>
      </w:r>
      <w:r w:rsidRPr="00C579D1">
        <w:rPr>
          <w:lang w:val="fr-FR"/>
        </w:rPr>
        <w:t>e PNUE et le système des Nations Unies</w:t>
      </w:r>
      <w:r w:rsidR="006C4C5E" w:rsidRPr="00C579D1">
        <w:rPr>
          <w:lang w:val="fr-FR"/>
        </w:rPr>
        <w:t xml:space="preserve"> </w:t>
      </w:r>
      <w:r w:rsidRPr="00C579D1">
        <w:rPr>
          <w:lang w:val="fr-FR"/>
        </w:rPr>
        <w:t xml:space="preserve">dans son ensemble fournissent des contributions techniques concernant les indicateurs </w:t>
      </w:r>
      <w:r w:rsidR="00905F02" w:rsidRPr="00C579D1">
        <w:rPr>
          <w:lang w:val="fr-FR"/>
        </w:rPr>
        <w:t>permettant de mesurer les progrès relatifs à la dimension environnementale</w:t>
      </w:r>
      <w:r w:rsidR="006C4C5E" w:rsidRPr="00C579D1">
        <w:rPr>
          <w:lang w:val="fr-FR"/>
        </w:rPr>
        <w:t>.</w:t>
      </w:r>
      <w:r w:rsidR="00905F02" w:rsidRPr="00C579D1">
        <w:rPr>
          <w:lang w:val="fr-FR"/>
        </w:rPr>
        <w:t xml:space="preserve"> À cette fin, le PNUE travaille sur les besoins en matière de métadonnées et les flux d’informations en collaboration avec les </w:t>
      </w:r>
      <w:r w:rsidR="002E62B6" w:rsidRPr="00C579D1">
        <w:rPr>
          <w:lang w:val="fr-FR"/>
        </w:rPr>
        <w:t xml:space="preserve">bureaux </w:t>
      </w:r>
      <w:r w:rsidR="00905F02" w:rsidRPr="00C579D1">
        <w:rPr>
          <w:lang w:val="fr-FR"/>
        </w:rPr>
        <w:t>nationaux de statistique des États membres et d’autres organismes des Nations Unies</w:t>
      </w:r>
      <w:r w:rsidR="00951795" w:rsidRPr="00C579D1">
        <w:rPr>
          <w:lang w:val="fr-FR"/>
        </w:rPr>
        <w:t>.</w:t>
      </w:r>
    </w:p>
    <w:p w:rsidR="006C4C5E" w:rsidRPr="00C579D1" w:rsidRDefault="00CF3C47" w:rsidP="00541B0D">
      <w:pPr>
        <w:pStyle w:val="Normalnumber"/>
        <w:tabs>
          <w:tab w:val="clear" w:pos="967"/>
          <w:tab w:val="clear" w:pos="1247"/>
          <w:tab w:val="clear" w:pos="1871"/>
          <w:tab w:val="left" w:pos="1843"/>
        </w:tabs>
        <w:ind w:left="1260"/>
        <w:rPr>
          <w:lang w:val="fr-FR"/>
        </w:rPr>
      </w:pPr>
      <w:r w:rsidRPr="00C579D1">
        <w:rPr>
          <w:lang w:val="fr-FR"/>
        </w:rPr>
        <w:t>S’agissant en particulier des changements climatiques, les politiques existantes et les</w:t>
      </w:r>
      <w:r w:rsidR="006C4C5E" w:rsidRPr="00C579D1">
        <w:rPr>
          <w:lang w:val="fr-FR"/>
        </w:rPr>
        <w:t xml:space="preserve"> </w:t>
      </w:r>
      <w:r w:rsidRPr="00C579D1">
        <w:rPr>
          <w:lang w:val="fr-FR"/>
        </w:rPr>
        <w:t>contributions prévues déterminées au niveau national</w:t>
      </w:r>
      <w:r w:rsidR="00765E0F" w:rsidRPr="00C579D1">
        <w:rPr>
          <w:lang w:val="fr-FR"/>
        </w:rPr>
        <w:t xml:space="preserve"> soumises avant la vingt-et-unième session de la Conférence des Parties à la Convention-cadre des Nations Unies sur les changements climatiques pourraient, si elles sont pleinement mises en œuvre, entraîn</w:t>
      </w:r>
      <w:r w:rsidR="0000026D" w:rsidRPr="00C579D1">
        <w:rPr>
          <w:lang w:val="fr-FR"/>
        </w:rPr>
        <w:t>er</w:t>
      </w:r>
      <w:r w:rsidR="00765E0F" w:rsidRPr="00C579D1">
        <w:rPr>
          <w:lang w:val="fr-FR"/>
        </w:rPr>
        <w:t xml:space="preserve"> une réduction de près de </w:t>
      </w:r>
      <w:r w:rsidR="006C4C5E" w:rsidRPr="00C579D1">
        <w:rPr>
          <w:lang w:val="fr-FR"/>
        </w:rPr>
        <w:t>11</w:t>
      </w:r>
      <w:r w:rsidR="00765E0F" w:rsidRPr="00C579D1">
        <w:rPr>
          <w:lang w:val="fr-FR"/>
        </w:rPr>
        <w:t xml:space="preserve"> gigatonnes d’équivalent </w:t>
      </w:r>
      <w:r w:rsidR="006C4C5E" w:rsidRPr="00C579D1">
        <w:rPr>
          <w:lang w:val="fr-FR"/>
        </w:rPr>
        <w:t>CO</w:t>
      </w:r>
      <w:r w:rsidR="006C4C5E" w:rsidRPr="003B1C72">
        <w:rPr>
          <w:vertAlign w:val="subscript"/>
          <w:lang w:val="fr-FR"/>
        </w:rPr>
        <w:t>2</w:t>
      </w:r>
      <w:r w:rsidR="00765E0F" w:rsidRPr="00C579D1">
        <w:rPr>
          <w:lang w:val="fr-FR"/>
        </w:rPr>
        <w:t xml:space="preserve"> des émissions prévues d’ici </w:t>
      </w:r>
      <w:r w:rsidR="006C4C5E" w:rsidRPr="00C579D1">
        <w:rPr>
          <w:lang w:val="fr-FR"/>
        </w:rPr>
        <w:t>2030.</w:t>
      </w:r>
      <w:r w:rsidR="00CB732D" w:rsidRPr="00C579D1">
        <w:rPr>
          <w:lang w:val="fr-FR"/>
        </w:rPr>
        <w:t xml:space="preserve"> </w:t>
      </w:r>
      <w:r w:rsidR="00765E0F" w:rsidRPr="00C579D1">
        <w:rPr>
          <w:lang w:val="fr-FR"/>
        </w:rPr>
        <w:t xml:space="preserve">Cependant, il s’agit d’environ la moitié de la quantité totale nécessaire pour </w:t>
      </w:r>
      <w:r w:rsidR="00ED51DE" w:rsidRPr="00C579D1">
        <w:rPr>
          <w:lang w:val="fr-FR"/>
        </w:rPr>
        <w:t>parvenir au</w:t>
      </w:r>
      <w:r w:rsidR="00765E0F" w:rsidRPr="00C579D1">
        <w:rPr>
          <w:lang w:val="fr-FR"/>
        </w:rPr>
        <w:t xml:space="preserve"> niveau d’émissions mondial de </w:t>
      </w:r>
      <w:r w:rsidR="006C4C5E" w:rsidRPr="00C579D1">
        <w:rPr>
          <w:lang w:val="fr-FR"/>
        </w:rPr>
        <w:t>42</w:t>
      </w:r>
      <w:r w:rsidR="00765E0F" w:rsidRPr="00C579D1">
        <w:rPr>
          <w:lang w:val="fr-FR"/>
        </w:rPr>
        <w:t> gigatonnes d’équivalent CO</w:t>
      </w:r>
      <w:r w:rsidR="00765E0F" w:rsidRPr="003B1C72">
        <w:rPr>
          <w:vertAlign w:val="subscript"/>
          <w:lang w:val="fr-FR"/>
        </w:rPr>
        <w:t>2</w:t>
      </w:r>
      <w:r w:rsidR="00765E0F" w:rsidRPr="00C579D1">
        <w:rPr>
          <w:lang w:val="fr-FR"/>
        </w:rPr>
        <w:t xml:space="preserve"> d’ici</w:t>
      </w:r>
      <w:r w:rsidR="00951795" w:rsidRPr="00C579D1">
        <w:rPr>
          <w:lang w:val="fr-FR"/>
        </w:rPr>
        <w:t xml:space="preserve"> </w:t>
      </w:r>
      <w:r w:rsidR="006C4C5E" w:rsidRPr="00C579D1">
        <w:rPr>
          <w:lang w:val="fr-FR"/>
        </w:rPr>
        <w:t>2030</w:t>
      </w:r>
      <w:r w:rsidR="00951795" w:rsidRPr="00C579D1">
        <w:rPr>
          <w:lang w:val="fr-FR"/>
        </w:rPr>
        <w:t>,</w:t>
      </w:r>
      <w:r w:rsidR="006C4C5E" w:rsidRPr="00C579D1">
        <w:rPr>
          <w:lang w:val="fr-FR"/>
        </w:rPr>
        <w:t xml:space="preserve"> </w:t>
      </w:r>
      <w:r w:rsidR="00ED51DE" w:rsidRPr="00C579D1">
        <w:rPr>
          <w:lang w:val="fr-FR"/>
        </w:rPr>
        <w:t xml:space="preserve">qui correspond à une probabilité </w:t>
      </w:r>
      <w:r w:rsidR="0000026D" w:rsidRPr="00C579D1">
        <w:rPr>
          <w:lang w:val="fr-FR"/>
        </w:rPr>
        <w:t>de plus de</w:t>
      </w:r>
      <w:r w:rsidR="00ED51DE" w:rsidRPr="00C579D1">
        <w:rPr>
          <w:lang w:val="fr-FR"/>
        </w:rPr>
        <w:t xml:space="preserve"> 66 % d’atteindre l’objectif de limiter la hausse de</w:t>
      </w:r>
      <w:r w:rsidR="0000026D" w:rsidRPr="00C579D1">
        <w:rPr>
          <w:lang w:val="fr-FR"/>
        </w:rPr>
        <w:t xml:space="preserve"> la</w:t>
      </w:r>
      <w:r w:rsidR="00ED51DE" w:rsidRPr="00C579D1">
        <w:rPr>
          <w:lang w:val="fr-FR"/>
        </w:rPr>
        <w:t xml:space="preserve"> température</w:t>
      </w:r>
      <w:r w:rsidR="0000026D" w:rsidRPr="00C579D1">
        <w:rPr>
          <w:lang w:val="fr-FR"/>
        </w:rPr>
        <w:t xml:space="preserve"> au niveau mondial</w:t>
      </w:r>
      <w:r w:rsidR="00ED51DE" w:rsidRPr="00C579D1">
        <w:rPr>
          <w:lang w:val="fr-FR"/>
        </w:rPr>
        <w:t xml:space="preserve"> à moins de 2 °C d’ici</w:t>
      </w:r>
      <w:r w:rsidR="00951795" w:rsidRPr="00C579D1">
        <w:rPr>
          <w:lang w:val="fr-FR"/>
        </w:rPr>
        <w:t xml:space="preserve"> </w:t>
      </w:r>
      <w:r w:rsidR="006C4C5E" w:rsidRPr="00C579D1">
        <w:rPr>
          <w:lang w:val="fr-FR"/>
        </w:rPr>
        <w:t xml:space="preserve">2100. </w:t>
      </w:r>
      <w:r w:rsidR="00ED51DE" w:rsidRPr="00C579D1">
        <w:rPr>
          <w:lang w:val="fr-FR"/>
        </w:rPr>
        <w:t>L’Accord de</w:t>
      </w:r>
      <w:r w:rsidR="000E7023" w:rsidRPr="00C579D1">
        <w:rPr>
          <w:lang w:val="fr-FR"/>
        </w:rPr>
        <w:t xml:space="preserve"> Paris </w:t>
      </w:r>
      <w:r w:rsidR="00ED51DE" w:rsidRPr="00C579D1">
        <w:rPr>
          <w:lang w:val="fr-FR"/>
        </w:rPr>
        <w:t>fournit un cadre pour examiner et renforcer les engagements en vue d’accroître le niveau d’ambition et de contribuer à atteindre l’objectif global</w:t>
      </w:r>
      <w:r w:rsidR="006C4C5E" w:rsidRPr="00C579D1">
        <w:rPr>
          <w:lang w:val="fr-FR"/>
        </w:rPr>
        <w:t>.</w:t>
      </w:r>
    </w:p>
    <w:p w:rsidR="006C4C5E" w:rsidRPr="00C579D1" w:rsidRDefault="00CB732D" w:rsidP="001C40EE">
      <w:pPr>
        <w:pStyle w:val="CH2"/>
        <w:rPr>
          <w:lang w:val="fr-FR"/>
        </w:rPr>
      </w:pPr>
      <w:r w:rsidRPr="00C579D1">
        <w:rPr>
          <w:lang w:val="fr-FR"/>
        </w:rPr>
        <w:tab/>
      </w:r>
      <w:r w:rsidR="006C4C5E" w:rsidRPr="00C579D1">
        <w:rPr>
          <w:lang w:val="fr-FR"/>
        </w:rPr>
        <w:t>B.</w:t>
      </w:r>
      <w:r w:rsidRPr="00C579D1">
        <w:rPr>
          <w:lang w:val="fr-FR"/>
        </w:rPr>
        <w:tab/>
      </w:r>
      <w:r w:rsidR="006C4C5E" w:rsidRPr="00C579D1">
        <w:rPr>
          <w:lang w:val="fr-FR"/>
        </w:rPr>
        <w:t>Recomm</w:t>
      </w:r>
      <w:r w:rsidR="00800A88" w:rsidRPr="00C579D1">
        <w:rPr>
          <w:lang w:val="fr-FR"/>
        </w:rPr>
        <w:t>a</w:t>
      </w:r>
      <w:r w:rsidR="006C4C5E" w:rsidRPr="00C579D1">
        <w:rPr>
          <w:lang w:val="fr-FR"/>
        </w:rPr>
        <w:t xml:space="preserve">ndations </w:t>
      </w:r>
    </w:p>
    <w:p w:rsidR="006C4C5E" w:rsidRPr="00C579D1" w:rsidRDefault="004C3BCC" w:rsidP="00541B0D">
      <w:pPr>
        <w:pStyle w:val="Normalnumber"/>
        <w:tabs>
          <w:tab w:val="clear" w:pos="967"/>
          <w:tab w:val="clear" w:pos="1247"/>
          <w:tab w:val="clear" w:pos="1871"/>
          <w:tab w:val="left" w:pos="1843"/>
        </w:tabs>
        <w:ind w:left="1260"/>
        <w:rPr>
          <w:lang w:val="fr-FR"/>
        </w:rPr>
      </w:pPr>
      <w:r w:rsidRPr="00C579D1">
        <w:rPr>
          <w:lang w:val="fr-FR"/>
        </w:rPr>
        <w:t xml:space="preserve">La mise </w:t>
      </w:r>
      <w:r w:rsidR="00471FCB" w:rsidRPr="00C579D1">
        <w:rPr>
          <w:lang w:val="fr-FR"/>
        </w:rPr>
        <w:t>à</w:t>
      </w:r>
      <w:r w:rsidRPr="00C579D1">
        <w:rPr>
          <w:lang w:val="fr-FR"/>
        </w:rPr>
        <w:t xml:space="preserve"> disposition des six évaluations régionales</w:t>
      </w:r>
      <w:r w:rsidR="006C4C5E" w:rsidRPr="00C579D1">
        <w:rPr>
          <w:lang w:val="fr-FR"/>
        </w:rPr>
        <w:t xml:space="preserve"> </w:t>
      </w:r>
      <w:r w:rsidR="002E62B6" w:rsidRPr="00C579D1">
        <w:rPr>
          <w:lang w:val="fr-FR"/>
        </w:rPr>
        <w:t xml:space="preserve">de </w:t>
      </w:r>
      <w:r w:rsidR="0023467F" w:rsidRPr="00C579D1">
        <w:rPr>
          <w:lang w:val="fr-FR"/>
        </w:rPr>
        <w:t xml:space="preserve">GEO-6 </w:t>
      </w:r>
      <w:r w:rsidRPr="00C579D1">
        <w:rPr>
          <w:lang w:val="fr-FR"/>
        </w:rPr>
        <w:t>offrira une occasion unique de renforcer l’interface science-politique au niveau régional</w:t>
      </w:r>
      <w:r w:rsidR="007F0F37" w:rsidRPr="00C579D1">
        <w:rPr>
          <w:lang w:val="fr-FR"/>
        </w:rPr>
        <w:t>.</w:t>
      </w:r>
      <w:r w:rsidRPr="00C579D1">
        <w:rPr>
          <w:lang w:val="fr-FR"/>
        </w:rPr>
        <w:t xml:space="preserve"> Les six évaluations seront régularisées</w:t>
      </w:r>
      <w:r w:rsidR="00D61A5C" w:rsidRPr="00C579D1">
        <w:rPr>
          <w:lang w:val="fr-FR"/>
        </w:rPr>
        <w:t xml:space="preserve"> au regard des évaluations existantes concernant l’état de l’environnement, notamment</w:t>
      </w:r>
      <w:r w:rsidR="007F0F37" w:rsidRPr="00C579D1">
        <w:rPr>
          <w:lang w:val="fr-FR"/>
        </w:rPr>
        <w:t xml:space="preserve"> </w:t>
      </w:r>
      <w:r w:rsidR="00485413">
        <w:rPr>
          <w:lang w:val="fr-FR"/>
        </w:rPr>
        <w:t xml:space="preserve">les évaluations de la série </w:t>
      </w:r>
      <w:r w:rsidR="00D61A5C" w:rsidRPr="003B1C72">
        <w:rPr>
          <w:i/>
          <w:lang w:val="fr-FR"/>
        </w:rPr>
        <w:t>L’environnement en Europe – état et perspe</w:t>
      </w:r>
      <w:r w:rsidR="000D5EBA" w:rsidRPr="003B1C72">
        <w:rPr>
          <w:i/>
          <w:lang w:val="fr-FR"/>
        </w:rPr>
        <w:t>ctives</w:t>
      </w:r>
      <w:r w:rsidR="000D5EBA" w:rsidRPr="00C579D1">
        <w:rPr>
          <w:lang w:val="fr-FR"/>
        </w:rPr>
        <w:t xml:space="preserve"> et les rapports sur </w:t>
      </w:r>
      <w:r w:rsidR="000D5EBA" w:rsidRPr="00485413">
        <w:rPr>
          <w:i/>
          <w:lang w:val="fr-FR"/>
        </w:rPr>
        <w:t>l’</w:t>
      </w:r>
      <w:r w:rsidR="00715491">
        <w:rPr>
          <w:i/>
          <w:lang w:val="fr-FR"/>
        </w:rPr>
        <w:t>A</w:t>
      </w:r>
      <w:r w:rsidR="00D61A5C" w:rsidRPr="00485413">
        <w:rPr>
          <w:i/>
          <w:lang w:val="fr-FR"/>
        </w:rPr>
        <w:t>venir de l’env</w:t>
      </w:r>
      <w:r w:rsidR="000D5EBA" w:rsidRPr="00485413">
        <w:rPr>
          <w:i/>
          <w:lang w:val="fr-FR"/>
        </w:rPr>
        <w:t>ironnement en Afrique</w:t>
      </w:r>
      <w:r w:rsidR="000D5EBA" w:rsidRPr="00C579D1">
        <w:rPr>
          <w:lang w:val="fr-FR"/>
        </w:rPr>
        <w:t xml:space="preserve"> et sur </w:t>
      </w:r>
      <w:r w:rsidR="000D5EBA" w:rsidRPr="00485413">
        <w:rPr>
          <w:i/>
          <w:lang w:val="fr-FR"/>
        </w:rPr>
        <w:t>l’</w:t>
      </w:r>
      <w:r w:rsidR="00807000">
        <w:rPr>
          <w:i/>
          <w:lang w:val="fr-FR"/>
        </w:rPr>
        <w:t>A</w:t>
      </w:r>
      <w:r w:rsidR="00D61A5C" w:rsidRPr="00485413">
        <w:rPr>
          <w:i/>
          <w:lang w:val="fr-FR"/>
        </w:rPr>
        <w:t xml:space="preserve">venir de l’environnement </w:t>
      </w:r>
      <w:r w:rsidR="00A6170A" w:rsidRPr="00485413">
        <w:rPr>
          <w:i/>
          <w:lang w:val="fr-FR"/>
        </w:rPr>
        <w:t xml:space="preserve">en </w:t>
      </w:r>
      <w:r w:rsidR="00D61A5C" w:rsidRPr="00485413">
        <w:rPr>
          <w:i/>
          <w:lang w:val="fr-FR"/>
        </w:rPr>
        <w:t>Amérique latine et d</w:t>
      </w:r>
      <w:r w:rsidR="00A6170A" w:rsidRPr="00485413">
        <w:rPr>
          <w:i/>
          <w:lang w:val="fr-FR"/>
        </w:rPr>
        <w:t>ans l</w:t>
      </w:r>
      <w:r w:rsidR="00D61A5C" w:rsidRPr="00485413">
        <w:rPr>
          <w:i/>
          <w:lang w:val="fr-FR"/>
        </w:rPr>
        <w:t>es Caraïbes</w:t>
      </w:r>
      <w:r w:rsidR="006C4C5E" w:rsidRPr="00C579D1">
        <w:rPr>
          <w:lang w:val="fr-FR"/>
        </w:rPr>
        <w:t>.</w:t>
      </w:r>
      <w:r w:rsidR="00A6170A" w:rsidRPr="00C579D1">
        <w:rPr>
          <w:lang w:val="fr-FR"/>
        </w:rPr>
        <w:t xml:space="preserve"> Dans certains cas, les évaluations régionales serviront à </w:t>
      </w:r>
      <w:r w:rsidR="000D5EBA" w:rsidRPr="00C579D1">
        <w:rPr>
          <w:lang w:val="fr-FR"/>
        </w:rPr>
        <w:t>répondre</w:t>
      </w:r>
      <w:r w:rsidR="009514C9" w:rsidRPr="00C579D1">
        <w:rPr>
          <w:lang w:val="fr-FR"/>
        </w:rPr>
        <w:t xml:space="preserve"> aux exigences en matière </w:t>
      </w:r>
      <w:r w:rsidR="00471FCB" w:rsidRPr="00C579D1">
        <w:rPr>
          <w:lang w:val="fr-FR"/>
        </w:rPr>
        <w:t>d’établissement de rapports</w:t>
      </w:r>
      <w:r w:rsidR="009514C9" w:rsidRPr="00C579D1">
        <w:rPr>
          <w:lang w:val="fr-FR"/>
        </w:rPr>
        <w:t xml:space="preserve"> de divers forums ministériels régionaux sur l’environnement comme les conférences ministérielles paneuropéennes « Un environnement pour l’Europe »</w:t>
      </w:r>
      <w:r w:rsidR="006C4C5E" w:rsidRPr="00C579D1">
        <w:rPr>
          <w:lang w:val="fr-FR"/>
        </w:rPr>
        <w:t>.</w:t>
      </w:r>
      <w:r w:rsidR="009514C9" w:rsidRPr="00C579D1">
        <w:rPr>
          <w:lang w:val="fr-FR"/>
        </w:rPr>
        <w:t xml:space="preserve"> À long terme, un processus</w:t>
      </w:r>
      <w:r w:rsidR="006C4C5E" w:rsidRPr="00C579D1">
        <w:rPr>
          <w:lang w:val="fr-FR"/>
        </w:rPr>
        <w:t xml:space="preserve"> </w:t>
      </w:r>
      <w:r w:rsidR="009514C9" w:rsidRPr="00C579D1">
        <w:rPr>
          <w:lang w:val="fr-FR"/>
        </w:rPr>
        <w:t>rationalisé</w:t>
      </w:r>
      <w:r w:rsidR="00471FCB" w:rsidRPr="00C579D1">
        <w:rPr>
          <w:lang w:val="fr-FR"/>
        </w:rPr>
        <w:t xml:space="preserve"> d’établissement de rapports régionaux réguliers sur l’environnement</w:t>
      </w:r>
      <w:r w:rsidR="009514C9" w:rsidRPr="00C579D1">
        <w:rPr>
          <w:lang w:val="fr-FR"/>
        </w:rPr>
        <w:t xml:space="preserve"> </w:t>
      </w:r>
      <w:r w:rsidR="00471FCB" w:rsidRPr="00C579D1">
        <w:rPr>
          <w:lang w:val="fr-FR"/>
        </w:rPr>
        <w:t>peut servir de mécanisme d’élaboration de politiques dans le contexte des objectifs de développement durable et du cycle d’établissement de rapports et d’examen du</w:t>
      </w:r>
      <w:r w:rsidR="006C4C5E" w:rsidRPr="00C579D1">
        <w:rPr>
          <w:lang w:val="fr-FR"/>
        </w:rPr>
        <w:t xml:space="preserve"> </w:t>
      </w:r>
      <w:r w:rsidR="00471FCB" w:rsidRPr="00C579D1">
        <w:rPr>
          <w:lang w:val="fr-FR"/>
        </w:rPr>
        <w:t>Rapport mondial sur le développement durable</w:t>
      </w:r>
      <w:r w:rsidR="006C4C5E" w:rsidRPr="00C579D1">
        <w:rPr>
          <w:lang w:val="fr-FR"/>
        </w:rPr>
        <w:t>.</w:t>
      </w:r>
    </w:p>
    <w:p w:rsidR="006C4C5E" w:rsidRPr="00C579D1" w:rsidRDefault="00471FCB" w:rsidP="00541B0D">
      <w:pPr>
        <w:pStyle w:val="Normalnumber"/>
        <w:tabs>
          <w:tab w:val="clear" w:pos="967"/>
          <w:tab w:val="clear" w:pos="1247"/>
          <w:tab w:val="clear" w:pos="1871"/>
          <w:tab w:val="left" w:pos="1843"/>
        </w:tabs>
        <w:ind w:left="1260"/>
        <w:rPr>
          <w:lang w:val="fr-FR"/>
        </w:rPr>
      </w:pPr>
      <w:r w:rsidRPr="00C579D1">
        <w:rPr>
          <w:lang w:val="fr-FR"/>
        </w:rPr>
        <w:t>En outre</w:t>
      </w:r>
      <w:r w:rsidR="006C4C5E" w:rsidRPr="00C579D1">
        <w:rPr>
          <w:lang w:val="fr-FR"/>
        </w:rPr>
        <w:t>,</w:t>
      </w:r>
      <w:r w:rsidRPr="00C579D1">
        <w:rPr>
          <w:lang w:val="fr-FR"/>
        </w:rPr>
        <w:t xml:space="preserve"> </w:t>
      </w:r>
      <w:r w:rsidR="000D5EBA" w:rsidRPr="00C579D1">
        <w:rPr>
          <w:lang w:val="fr-FR"/>
        </w:rPr>
        <w:t>de nombreux</w:t>
      </w:r>
      <w:r w:rsidRPr="00C579D1">
        <w:rPr>
          <w:lang w:val="fr-FR"/>
        </w:rPr>
        <w:t xml:space="preserve"> résultats d’évaluations régionales et mondiales présenteront un intérêt au niveau national étant donné </w:t>
      </w:r>
      <w:r w:rsidR="005B380F" w:rsidRPr="00C579D1">
        <w:rPr>
          <w:lang w:val="fr-FR"/>
        </w:rPr>
        <w:t>la nature</w:t>
      </w:r>
      <w:r w:rsidRPr="00C579D1">
        <w:rPr>
          <w:lang w:val="fr-FR"/>
        </w:rPr>
        <w:t xml:space="preserve"> largement transfrontière </w:t>
      </w:r>
      <w:r w:rsidR="000D5EBA" w:rsidRPr="00C579D1">
        <w:rPr>
          <w:lang w:val="fr-FR"/>
        </w:rPr>
        <w:t>d’un grand nombre des</w:t>
      </w:r>
      <w:r w:rsidR="005B380F" w:rsidRPr="00C579D1">
        <w:rPr>
          <w:lang w:val="fr-FR"/>
        </w:rPr>
        <w:t xml:space="preserve"> problèmes environnementaux</w:t>
      </w:r>
      <w:r w:rsidR="006C4C5E" w:rsidRPr="00C579D1">
        <w:rPr>
          <w:lang w:val="fr-FR"/>
        </w:rPr>
        <w:t>.</w:t>
      </w:r>
      <w:r w:rsidR="005B380F" w:rsidRPr="00C579D1">
        <w:rPr>
          <w:lang w:val="fr-FR"/>
        </w:rPr>
        <w:t xml:space="preserve"> Les pays seront de plus en plus en mesure d’utiliser ces résultats pour éclairer, concevoir et mettre à jour leurs politiques et </w:t>
      </w:r>
      <w:r w:rsidR="000D5EBA" w:rsidRPr="00C579D1">
        <w:rPr>
          <w:lang w:val="fr-FR"/>
        </w:rPr>
        <w:t xml:space="preserve">leurs </w:t>
      </w:r>
      <w:r w:rsidR="005B380F" w:rsidRPr="00C579D1">
        <w:rPr>
          <w:lang w:val="fr-FR"/>
        </w:rPr>
        <w:t>stratégies visant à traiter la dimension environnementale du développement durable</w:t>
      </w:r>
      <w:r w:rsidR="006C4C5E" w:rsidRPr="00C579D1">
        <w:rPr>
          <w:lang w:val="fr-FR"/>
        </w:rPr>
        <w:t>.</w:t>
      </w:r>
    </w:p>
    <w:p w:rsidR="006C4C5E" w:rsidRPr="00C579D1" w:rsidRDefault="005B380F" w:rsidP="00541B0D">
      <w:pPr>
        <w:pStyle w:val="Normalnumber"/>
        <w:tabs>
          <w:tab w:val="clear" w:pos="967"/>
          <w:tab w:val="clear" w:pos="1247"/>
          <w:tab w:val="clear" w:pos="1871"/>
          <w:tab w:val="left" w:pos="1843"/>
        </w:tabs>
        <w:ind w:left="1260"/>
        <w:rPr>
          <w:lang w:val="fr-FR"/>
        </w:rPr>
      </w:pPr>
      <w:r w:rsidRPr="00C579D1">
        <w:rPr>
          <w:lang w:val="fr-FR"/>
        </w:rPr>
        <w:t>Sur la base d’un examen préliminaire des projets d’évaluation régionale existants pour GEO</w:t>
      </w:r>
      <w:r w:rsidRPr="00C579D1">
        <w:rPr>
          <w:lang w:val="fr-FR"/>
        </w:rPr>
        <w:noBreakHyphen/>
      </w:r>
      <w:r w:rsidR="00B83128" w:rsidRPr="00C579D1">
        <w:rPr>
          <w:lang w:val="fr-FR"/>
        </w:rPr>
        <w:t>6</w:t>
      </w:r>
      <w:r w:rsidR="006C4C5E" w:rsidRPr="00C579D1">
        <w:rPr>
          <w:lang w:val="fr-FR"/>
        </w:rPr>
        <w:t xml:space="preserve">, </w:t>
      </w:r>
      <w:r w:rsidR="004B0C6D">
        <w:rPr>
          <w:lang w:val="fr-FR"/>
        </w:rPr>
        <w:t>il </w:t>
      </w:r>
      <w:r w:rsidRPr="00C579D1">
        <w:rPr>
          <w:lang w:val="fr-FR"/>
        </w:rPr>
        <w:t>est recommandé,</w:t>
      </w:r>
      <w:r w:rsidR="008608EC" w:rsidRPr="00C579D1">
        <w:rPr>
          <w:lang w:val="fr-FR"/>
        </w:rPr>
        <w:t xml:space="preserve"> afin de s’attaquer aux nouveaux problèmes environnementaux, que toutes les régions disposent d’un large éventail de solutions scientifiquement rationnelles et</w:t>
      </w:r>
      <w:r w:rsidRPr="00C579D1">
        <w:rPr>
          <w:lang w:val="fr-FR"/>
        </w:rPr>
        <w:t xml:space="preserve"> </w:t>
      </w:r>
      <w:r w:rsidR="008608EC" w:rsidRPr="00C579D1">
        <w:rPr>
          <w:lang w:val="fr-FR"/>
        </w:rPr>
        <w:t xml:space="preserve">applicables, </w:t>
      </w:r>
      <w:r w:rsidR="002E62B6" w:rsidRPr="00C579D1">
        <w:rPr>
          <w:lang w:val="fr-FR"/>
        </w:rPr>
        <w:t>qui sont les suivantes </w:t>
      </w:r>
      <w:r w:rsidR="006C4C5E" w:rsidRPr="00C579D1">
        <w:rPr>
          <w:lang w:val="fr-FR"/>
        </w:rPr>
        <w:t>:</w:t>
      </w:r>
    </w:p>
    <w:p w:rsidR="006C4C5E" w:rsidRPr="00C579D1" w:rsidRDefault="008608EC" w:rsidP="004B0C6D">
      <w:pPr>
        <w:pStyle w:val="Normalnumber"/>
        <w:keepNext/>
        <w:keepLines/>
        <w:numPr>
          <w:ilvl w:val="1"/>
          <w:numId w:val="4"/>
        </w:numPr>
        <w:tabs>
          <w:tab w:val="clear" w:pos="1134"/>
          <w:tab w:val="clear" w:pos="1247"/>
          <w:tab w:val="clear" w:pos="1871"/>
          <w:tab w:val="left" w:pos="1843"/>
          <w:tab w:val="left" w:pos="2410"/>
        </w:tabs>
        <w:ind w:left="1276"/>
        <w:rPr>
          <w:lang w:val="fr-FR"/>
        </w:rPr>
      </w:pPr>
      <w:r w:rsidRPr="00C579D1">
        <w:rPr>
          <w:lang w:val="fr-FR"/>
        </w:rPr>
        <w:lastRenderedPageBreak/>
        <w:t xml:space="preserve">Réforme institutionnelle environnementale </w:t>
      </w:r>
      <w:r w:rsidR="006C4C5E" w:rsidRPr="00C579D1">
        <w:rPr>
          <w:lang w:val="fr-FR"/>
        </w:rPr>
        <w:t>(go</w:t>
      </w:r>
      <w:r w:rsidRPr="00C579D1">
        <w:rPr>
          <w:lang w:val="fr-FR"/>
        </w:rPr>
        <w:t>u</w:t>
      </w:r>
      <w:r w:rsidR="006C4C5E" w:rsidRPr="00C579D1">
        <w:rPr>
          <w:lang w:val="fr-FR"/>
        </w:rPr>
        <w:t>vernance, coordination, capacit</w:t>
      </w:r>
      <w:r w:rsidRPr="00C579D1">
        <w:rPr>
          <w:lang w:val="fr-FR"/>
        </w:rPr>
        <w:t>é</w:t>
      </w:r>
      <w:r w:rsidR="006C4C5E" w:rsidRPr="00C579D1">
        <w:rPr>
          <w:lang w:val="fr-FR"/>
        </w:rPr>
        <w:t xml:space="preserve"> </w:t>
      </w:r>
      <w:r w:rsidRPr="00C579D1">
        <w:rPr>
          <w:lang w:val="fr-FR"/>
        </w:rPr>
        <w:t>et financement</w:t>
      </w:r>
      <w:r w:rsidR="006C4C5E" w:rsidRPr="00C579D1">
        <w:rPr>
          <w:lang w:val="fr-FR"/>
        </w:rPr>
        <w:t xml:space="preserve">); </w:t>
      </w:r>
    </w:p>
    <w:p w:rsidR="006C4C5E" w:rsidRPr="00C579D1" w:rsidRDefault="00610C3B" w:rsidP="004B0C6D">
      <w:pPr>
        <w:pStyle w:val="Normalnumber"/>
        <w:keepNext/>
        <w:keepLines/>
        <w:numPr>
          <w:ilvl w:val="1"/>
          <w:numId w:val="4"/>
        </w:numPr>
        <w:tabs>
          <w:tab w:val="clear" w:pos="1134"/>
          <w:tab w:val="clear" w:pos="1247"/>
          <w:tab w:val="clear" w:pos="1871"/>
          <w:tab w:val="left" w:pos="1843"/>
          <w:tab w:val="left" w:pos="2410"/>
        </w:tabs>
        <w:ind w:left="1276"/>
        <w:rPr>
          <w:lang w:val="fr-FR"/>
        </w:rPr>
      </w:pPr>
      <w:r w:rsidRPr="00C579D1">
        <w:rPr>
          <w:lang w:val="fr-FR"/>
        </w:rPr>
        <w:t>Respect plus rigoureux de différents cadres réglementaires</w:t>
      </w:r>
      <w:r w:rsidR="006C4C5E" w:rsidRPr="00C579D1">
        <w:rPr>
          <w:lang w:val="fr-FR"/>
        </w:rPr>
        <w:t xml:space="preserve">; </w:t>
      </w:r>
    </w:p>
    <w:p w:rsidR="00DD069D" w:rsidRPr="00C579D1" w:rsidRDefault="00610C3B"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Investissement accru dans les données et les statistiques</w:t>
      </w:r>
      <w:r w:rsidR="00DD069D" w:rsidRPr="00C579D1">
        <w:rPr>
          <w:lang w:val="fr-FR"/>
        </w:rPr>
        <w:t>;</w:t>
      </w:r>
    </w:p>
    <w:p w:rsidR="006C4C5E" w:rsidRPr="00C579D1" w:rsidRDefault="00610C3B"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Utilisation d’instruments économiques pour intégrer l’environnement dans d’autres domaines politiques</w:t>
      </w:r>
      <w:r w:rsidR="006C4C5E" w:rsidRPr="00C579D1">
        <w:rPr>
          <w:lang w:val="fr-FR"/>
        </w:rPr>
        <w:t xml:space="preserve">; </w:t>
      </w:r>
    </w:p>
    <w:p w:rsidR="006C4C5E" w:rsidRPr="00C579D1" w:rsidRDefault="00610C3B"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Participation accrue du secteur privé et de la société civile à la gestion de l’environnement et </w:t>
      </w:r>
      <w:r w:rsidR="002E62B6" w:rsidRPr="00C579D1">
        <w:rPr>
          <w:lang w:val="fr-FR"/>
        </w:rPr>
        <w:t xml:space="preserve">à l’établissement </w:t>
      </w:r>
      <w:r w:rsidR="00736E9F" w:rsidRPr="00C579D1">
        <w:rPr>
          <w:lang w:val="fr-FR"/>
        </w:rPr>
        <w:t>de modes de production et de consommation durables</w:t>
      </w:r>
      <w:r w:rsidR="006C4C5E" w:rsidRPr="00C579D1">
        <w:rPr>
          <w:lang w:val="fr-FR"/>
        </w:rPr>
        <w:t>;</w:t>
      </w:r>
    </w:p>
    <w:p w:rsidR="006C4C5E" w:rsidRPr="00C579D1" w:rsidRDefault="00736E9F"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Coopération régionale renforcée afin de gérer les questions transfrontières, en particulier celles qui ont trait aux grands écosystèmes et aux problèmes environnementaux majeurs comme la pollution de l’air et de l’eau et les</w:t>
      </w:r>
      <w:r w:rsidR="006C4C5E" w:rsidRPr="00C579D1">
        <w:rPr>
          <w:lang w:val="fr-FR"/>
        </w:rPr>
        <w:t xml:space="preserve"> </w:t>
      </w:r>
      <w:r w:rsidRPr="00C579D1">
        <w:rPr>
          <w:lang w:val="fr-FR"/>
        </w:rPr>
        <w:t>tempêtes de sable et de poussière</w:t>
      </w:r>
      <w:r w:rsidR="006C4C5E" w:rsidRPr="00C579D1">
        <w:rPr>
          <w:lang w:val="fr-FR"/>
        </w:rPr>
        <w:t>.</w:t>
      </w:r>
    </w:p>
    <w:p w:rsidR="006C4C5E" w:rsidRPr="00C579D1" w:rsidRDefault="00CB732D" w:rsidP="00FA789D">
      <w:pPr>
        <w:pStyle w:val="CH1"/>
        <w:rPr>
          <w:lang w:val="fr-FR"/>
        </w:rPr>
      </w:pPr>
      <w:r w:rsidRPr="00C579D1">
        <w:rPr>
          <w:lang w:val="fr-FR"/>
        </w:rPr>
        <w:tab/>
        <w:t>V.</w:t>
      </w:r>
      <w:r w:rsidRPr="00C579D1">
        <w:rPr>
          <w:lang w:val="fr-FR"/>
        </w:rPr>
        <w:tab/>
      </w:r>
      <w:r w:rsidR="006F0DD1" w:rsidRPr="00C579D1">
        <w:rPr>
          <w:lang w:val="fr-FR"/>
        </w:rPr>
        <w:t>Développement à long terme et ut</w:t>
      </w:r>
      <w:r w:rsidR="004B0C6D">
        <w:rPr>
          <w:lang w:val="fr-FR"/>
        </w:rPr>
        <w:t>ilisation de la plateforme « Le </w:t>
      </w:r>
      <w:r w:rsidR="006F0DD1" w:rsidRPr="00C579D1">
        <w:rPr>
          <w:lang w:val="fr-FR"/>
        </w:rPr>
        <w:t>PNUE en direct »</w:t>
      </w:r>
    </w:p>
    <w:p w:rsidR="006C4C5E" w:rsidRPr="00C579D1" w:rsidRDefault="00716930" w:rsidP="00541B0D">
      <w:pPr>
        <w:pStyle w:val="Normalnumber"/>
        <w:tabs>
          <w:tab w:val="clear" w:pos="967"/>
          <w:tab w:val="clear" w:pos="1247"/>
          <w:tab w:val="clear" w:pos="1871"/>
          <w:tab w:val="left" w:pos="1843"/>
        </w:tabs>
        <w:ind w:left="1260"/>
        <w:rPr>
          <w:lang w:val="fr-FR"/>
        </w:rPr>
      </w:pPr>
      <w:r w:rsidRPr="00C579D1">
        <w:rPr>
          <w:lang w:val="fr-FR"/>
        </w:rPr>
        <w:t xml:space="preserve">« Le PNUE en direct » est un système de gestion des connaissances </w:t>
      </w:r>
      <w:r w:rsidRPr="00C579D1">
        <w:rPr>
          <w:rFonts w:eastAsia="MS Mincho"/>
          <w:kern w:val="2"/>
          <w:lang w:val="fr-FR"/>
        </w:rPr>
        <w:t xml:space="preserve">en ligne qui fournit des données, des informations et des connaissances scientifiques contextualisées permettant de surveiller l’état de </w:t>
      </w:r>
      <w:r w:rsidRPr="00C579D1">
        <w:rPr>
          <w:lang w:val="fr-FR"/>
        </w:rPr>
        <w:t>l’environnement</w:t>
      </w:r>
      <w:r w:rsidR="00E22900" w:rsidRPr="00C579D1">
        <w:rPr>
          <w:lang w:val="fr-FR"/>
        </w:rPr>
        <w:t>,</w:t>
      </w:r>
      <w:r w:rsidRPr="00C579D1">
        <w:rPr>
          <w:lang w:val="fr-FR"/>
        </w:rPr>
        <w:t xml:space="preserve"> des outils visant à renforcer les capacités nationales en matière d’établissement de rapports et d’évaluation concernant l’état de l’environnement ainsi que des opportunités de coproduction de connaissances et de recherches collaboratives</w:t>
      </w:r>
      <w:r w:rsidR="00E22900" w:rsidRPr="00C579D1">
        <w:rPr>
          <w:lang w:val="fr-FR"/>
        </w:rPr>
        <w:t xml:space="preserve"> </w:t>
      </w:r>
      <w:r w:rsidRPr="00C579D1">
        <w:rPr>
          <w:lang w:val="fr-FR"/>
        </w:rPr>
        <w:t xml:space="preserve">par des spécialistes et des décideurs à l’appui d’évaluations et d’analyses </w:t>
      </w:r>
      <w:r w:rsidR="009D1BAE" w:rsidRPr="00C579D1">
        <w:rPr>
          <w:lang w:val="fr-FR"/>
        </w:rPr>
        <w:t xml:space="preserve">des politiques </w:t>
      </w:r>
      <w:r w:rsidR="00B07A01" w:rsidRPr="00C579D1">
        <w:rPr>
          <w:lang w:val="fr-FR"/>
        </w:rPr>
        <w:t>rigoureuses et factuelles</w:t>
      </w:r>
      <w:r w:rsidR="006C4C5E" w:rsidRPr="00C579D1">
        <w:rPr>
          <w:lang w:val="fr-FR"/>
        </w:rPr>
        <w:t>.</w:t>
      </w:r>
    </w:p>
    <w:p w:rsidR="006C4C5E" w:rsidRPr="00C579D1" w:rsidRDefault="00933D67" w:rsidP="00541B0D">
      <w:pPr>
        <w:pStyle w:val="Normalnumber"/>
        <w:tabs>
          <w:tab w:val="clear" w:pos="967"/>
          <w:tab w:val="clear" w:pos="1247"/>
          <w:tab w:val="clear" w:pos="1871"/>
          <w:tab w:val="left" w:pos="1843"/>
        </w:tabs>
        <w:ind w:left="1260"/>
        <w:rPr>
          <w:lang w:val="fr-FR"/>
        </w:rPr>
      </w:pPr>
      <w:r w:rsidRPr="00C579D1">
        <w:rPr>
          <w:lang w:val="fr-FR"/>
        </w:rPr>
        <w:t>Le système de communication des informations sur les indicateurs de la plateforme « Le PNUE en direct » est utilisé en parallèle pour assimiler les données et les statistiques nationales, régionales et mondiales liées à l’établissement de rapports</w:t>
      </w:r>
      <w:r w:rsidR="00C22CE6" w:rsidRPr="00C579D1">
        <w:rPr>
          <w:lang w:val="fr-FR"/>
        </w:rPr>
        <w:t>,</w:t>
      </w:r>
      <w:r w:rsidRPr="00C579D1">
        <w:rPr>
          <w:lang w:val="fr-FR"/>
        </w:rPr>
        <w:t xml:space="preserve"> notamment par l’intermédiaire du</w:t>
      </w:r>
      <w:r w:rsidR="006C4C5E" w:rsidRPr="00C579D1">
        <w:rPr>
          <w:lang w:val="fr-FR"/>
        </w:rPr>
        <w:t xml:space="preserve"> </w:t>
      </w:r>
      <w:r w:rsidR="0028372F" w:rsidRPr="00C579D1">
        <w:rPr>
          <w:lang w:val="fr-FR"/>
        </w:rPr>
        <w:t>cadre mondial d’indicateurs des objectifs de développement durable</w:t>
      </w:r>
      <w:r w:rsidR="006C4C5E" w:rsidRPr="00C579D1">
        <w:rPr>
          <w:lang w:val="fr-FR"/>
        </w:rPr>
        <w:t>.</w:t>
      </w:r>
      <w:r w:rsidR="0028372F" w:rsidRPr="00C579D1">
        <w:rPr>
          <w:lang w:val="fr-FR"/>
        </w:rPr>
        <w:t xml:space="preserve"> Ce r</w:t>
      </w:r>
      <w:r w:rsidR="003B2E93" w:rsidRPr="00C579D1">
        <w:rPr>
          <w:lang w:val="fr-FR"/>
        </w:rPr>
        <w:t>ôle sera renforcé d</w:t>
      </w:r>
      <w:r w:rsidR="0028372F" w:rsidRPr="00C579D1">
        <w:rPr>
          <w:lang w:val="fr-FR"/>
        </w:rPr>
        <w:t xml:space="preserve">ans la mesure où </w:t>
      </w:r>
      <w:r w:rsidR="003B2E93" w:rsidRPr="00C579D1">
        <w:rPr>
          <w:lang w:val="fr-FR"/>
        </w:rPr>
        <w:t xml:space="preserve">les ministères et les </w:t>
      </w:r>
      <w:r w:rsidR="00C579D1" w:rsidRPr="00C579D1">
        <w:rPr>
          <w:lang w:val="fr-FR"/>
        </w:rPr>
        <w:t xml:space="preserve">bureaux nationaux </w:t>
      </w:r>
      <w:r w:rsidR="003B2E93" w:rsidRPr="00C579D1">
        <w:rPr>
          <w:lang w:val="fr-FR"/>
        </w:rPr>
        <w:t xml:space="preserve">de statistique ainsi que la communauté internationale des statisticiens mettront à disposition, par l’intermédiaire du portail </w:t>
      </w:r>
      <w:r w:rsidR="00BA522A">
        <w:rPr>
          <w:lang w:val="fr-FR"/>
        </w:rPr>
        <w:t xml:space="preserve">des objectifs de développement durable </w:t>
      </w:r>
      <w:r w:rsidR="003B2E93" w:rsidRPr="00C579D1">
        <w:rPr>
          <w:lang w:val="fr-FR"/>
        </w:rPr>
        <w:t>de la plateforme « Le PNUE en direct », davantage</w:t>
      </w:r>
      <w:r w:rsidR="0028372F" w:rsidRPr="00C579D1">
        <w:rPr>
          <w:lang w:val="fr-FR"/>
        </w:rPr>
        <w:t xml:space="preserve"> de liens, d’ontologies et d’intelligence web</w:t>
      </w:r>
      <w:r w:rsidR="006E2115" w:rsidRPr="00C579D1">
        <w:rPr>
          <w:lang w:val="fr-FR"/>
        </w:rPr>
        <w:t xml:space="preserve"> concernant les indicateurs</w:t>
      </w:r>
      <w:r w:rsidR="00E22900" w:rsidRPr="00C579D1">
        <w:rPr>
          <w:lang w:val="fr-FR"/>
        </w:rPr>
        <w:t>.</w:t>
      </w:r>
    </w:p>
    <w:p w:rsidR="006C4C5E" w:rsidRPr="00C579D1" w:rsidRDefault="006E2115" w:rsidP="00541B0D">
      <w:pPr>
        <w:pStyle w:val="Normalnumber"/>
        <w:tabs>
          <w:tab w:val="clear" w:pos="967"/>
          <w:tab w:val="clear" w:pos="1247"/>
          <w:tab w:val="clear" w:pos="1871"/>
          <w:tab w:val="left" w:pos="1843"/>
        </w:tabs>
        <w:ind w:left="1260"/>
        <w:rPr>
          <w:lang w:val="fr-FR"/>
        </w:rPr>
      </w:pPr>
      <w:r w:rsidRPr="00C579D1">
        <w:rPr>
          <w:lang w:val="fr-FR"/>
        </w:rPr>
        <w:t>Le</w:t>
      </w:r>
      <w:r w:rsidR="00964402" w:rsidRPr="00C579D1">
        <w:rPr>
          <w:lang w:val="fr-FR"/>
        </w:rPr>
        <w:t xml:space="preserve"> </w:t>
      </w:r>
      <w:r w:rsidRPr="00C579D1">
        <w:rPr>
          <w:lang w:val="fr-FR"/>
        </w:rPr>
        <w:t>système de communication des informations sur les indicateurs facilite également le partage des données entre les détenteurs de données nationaux, fournissant un outil permettant de simplifier la compilation et le calcul d’indicateurs ainsi qu’un « tableau de bord » pour l’établissement de rapports sur les processus décisionnels et l’orientation de ces derniers</w:t>
      </w:r>
      <w:r w:rsidR="006C4C5E" w:rsidRPr="00C579D1">
        <w:rPr>
          <w:lang w:val="fr-FR"/>
        </w:rPr>
        <w:t>.</w:t>
      </w:r>
    </w:p>
    <w:p w:rsidR="006C4C5E" w:rsidRPr="00C579D1" w:rsidRDefault="004822AC" w:rsidP="00541B0D">
      <w:pPr>
        <w:pStyle w:val="Normalnumber"/>
        <w:tabs>
          <w:tab w:val="clear" w:pos="967"/>
          <w:tab w:val="clear" w:pos="1247"/>
          <w:tab w:val="clear" w:pos="1871"/>
          <w:tab w:val="left" w:pos="1843"/>
        </w:tabs>
        <w:ind w:left="1260"/>
        <w:rPr>
          <w:lang w:val="fr-FR"/>
        </w:rPr>
      </w:pPr>
      <w:r w:rsidRPr="00C579D1">
        <w:rPr>
          <w:lang w:val="fr-FR"/>
        </w:rPr>
        <w:t xml:space="preserve">Les 18 premiers </w:t>
      </w:r>
      <w:r w:rsidR="006E2115" w:rsidRPr="00C579D1">
        <w:rPr>
          <w:lang w:val="fr-FR"/>
        </w:rPr>
        <w:t xml:space="preserve">mois ont été consacrés à la mise en place de la plateforme, des outils et </w:t>
      </w:r>
      <w:r w:rsidRPr="00C579D1">
        <w:rPr>
          <w:lang w:val="fr-FR"/>
        </w:rPr>
        <w:t>de l’ensemble du</w:t>
      </w:r>
      <w:r w:rsidR="006E2115" w:rsidRPr="00C579D1">
        <w:rPr>
          <w:lang w:val="fr-FR"/>
        </w:rPr>
        <w:t xml:space="preserve"> système de gestion des connaissances « Le PNUE en direct »</w:t>
      </w:r>
      <w:r w:rsidR="00DD61E5" w:rsidRPr="00C579D1">
        <w:rPr>
          <w:lang w:val="fr-FR"/>
        </w:rPr>
        <w:t xml:space="preserve"> </w:t>
      </w:r>
      <w:r w:rsidRPr="00C579D1">
        <w:rPr>
          <w:lang w:val="fr-FR"/>
        </w:rPr>
        <w:t>ainsi qu’à l’établissement d’indicateurs reposant sur les données disponibles provenant de sources mondiales, régionales et nationales en coopération avec des gouvernements, des institutions et d’autres fournisseurs de données</w:t>
      </w:r>
      <w:r w:rsidR="00F8772D" w:rsidRPr="00C579D1">
        <w:rPr>
          <w:lang w:val="fr-FR"/>
        </w:rPr>
        <w:t>.</w:t>
      </w:r>
      <w:r w:rsidR="00CB732D" w:rsidRPr="00C579D1">
        <w:rPr>
          <w:lang w:val="fr-FR"/>
        </w:rPr>
        <w:t xml:space="preserve"> </w:t>
      </w:r>
      <w:r w:rsidRPr="00C579D1">
        <w:rPr>
          <w:lang w:val="fr-FR"/>
        </w:rPr>
        <w:t>Ces travaux ont abouti à </w:t>
      </w:r>
      <w:r w:rsidR="006C4C5E" w:rsidRPr="00C579D1">
        <w:rPr>
          <w:lang w:val="fr-FR"/>
        </w:rPr>
        <w:t xml:space="preserve">: </w:t>
      </w:r>
    </w:p>
    <w:p w:rsidR="006C4C5E" w:rsidRPr="00C579D1" w:rsidRDefault="004822AC"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Un système d’entreposage </w:t>
      </w:r>
      <w:r w:rsidR="00DF345C" w:rsidRPr="00C579D1">
        <w:rPr>
          <w:lang w:val="fr-FR"/>
        </w:rPr>
        <w:t>électronique</w:t>
      </w:r>
      <w:r w:rsidRPr="00C579D1">
        <w:rPr>
          <w:lang w:val="fr-FR"/>
        </w:rPr>
        <w:t xml:space="preserve"> </w:t>
      </w:r>
      <w:r w:rsidR="00DF345C" w:rsidRPr="00C579D1">
        <w:rPr>
          <w:lang w:val="fr-FR"/>
        </w:rPr>
        <w:t xml:space="preserve">des connaissances </w:t>
      </w:r>
      <w:r w:rsidRPr="00C579D1">
        <w:rPr>
          <w:lang w:val="fr-FR"/>
        </w:rPr>
        <w:t>du PNUE</w:t>
      </w:r>
      <w:r w:rsidR="00DF345C" w:rsidRPr="00C579D1">
        <w:rPr>
          <w:lang w:val="fr-FR"/>
        </w:rPr>
        <w:t>, avec des mises à jour en direct et des liens vers les connaissances des systèmes d’entreposage numérique de l’ONU</w:t>
      </w:r>
      <w:r w:rsidR="006C4C5E" w:rsidRPr="00C579D1">
        <w:rPr>
          <w:lang w:val="fr-FR"/>
        </w:rPr>
        <w:t>;</w:t>
      </w:r>
    </w:p>
    <w:p w:rsidR="006C4C5E" w:rsidRPr="00C579D1" w:rsidRDefault="00BA522A" w:rsidP="00541B0D">
      <w:pPr>
        <w:pStyle w:val="Normalnumber"/>
        <w:numPr>
          <w:ilvl w:val="1"/>
          <w:numId w:val="4"/>
        </w:numPr>
        <w:tabs>
          <w:tab w:val="clear" w:pos="1134"/>
          <w:tab w:val="clear" w:pos="1247"/>
          <w:tab w:val="clear" w:pos="1871"/>
          <w:tab w:val="left" w:pos="1843"/>
          <w:tab w:val="left" w:pos="2410"/>
        </w:tabs>
        <w:ind w:left="1276"/>
        <w:rPr>
          <w:lang w:val="fr-FR"/>
        </w:rPr>
      </w:pPr>
      <w:r>
        <w:rPr>
          <w:lang w:val="fr-FR"/>
        </w:rPr>
        <w:t xml:space="preserve">L’établissement de près de 418 </w:t>
      </w:r>
      <w:r w:rsidR="00FA02F2" w:rsidRPr="00C579D1">
        <w:rPr>
          <w:lang w:val="fr-FR"/>
        </w:rPr>
        <w:t xml:space="preserve">cartes </w:t>
      </w:r>
      <w:r>
        <w:rPr>
          <w:lang w:val="fr-FR"/>
        </w:rPr>
        <w:t>reliant</w:t>
      </w:r>
      <w:r w:rsidR="00FA02F2" w:rsidRPr="00C579D1">
        <w:rPr>
          <w:lang w:val="fr-FR"/>
        </w:rPr>
        <w:t xml:space="preserve"> la surveillance à long terme de l’environnement </w:t>
      </w:r>
      <w:r>
        <w:rPr>
          <w:lang w:val="fr-FR"/>
        </w:rPr>
        <w:t>aux</w:t>
      </w:r>
      <w:r w:rsidR="00FA02F2" w:rsidRPr="00C579D1">
        <w:rPr>
          <w:lang w:val="fr-FR"/>
        </w:rPr>
        <w:t xml:space="preserve"> données en temps </w:t>
      </w:r>
      <w:r w:rsidR="00410D34" w:rsidRPr="00C579D1">
        <w:rPr>
          <w:lang w:val="fr-FR"/>
        </w:rPr>
        <w:t>quasi-</w:t>
      </w:r>
      <w:r w:rsidR="00FA02F2" w:rsidRPr="00C579D1">
        <w:rPr>
          <w:lang w:val="fr-FR"/>
        </w:rPr>
        <w:t>réel</w:t>
      </w:r>
      <w:r w:rsidR="006C4C5E" w:rsidRPr="00C579D1">
        <w:rPr>
          <w:lang w:val="fr-FR"/>
        </w:rPr>
        <w:t>;</w:t>
      </w:r>
      <w:r w:rsidR="000B309D" w:rsidRPr="00C579D1">
        <w:rPr>
          <w:lang w:val="fr-FR"/>
        </w:rPr>
        <w:t xml:space="preserve"> </w:t>
      </w:r>
    </w:p>
    <w:p w:rsidR="006C4C5E" w:rsidRPr="00C579D1" w:rsidRDefault="00BA522A" w:rsidP="00541B0D">
      <w:pPr>
        <w:pStyle w:val="Normalnumber"/>
        <w:numPr>
          <w:ilvl w:val="1"/>
          <w:numId w:val="4"/>
        </w:numPr>
        <w:tabs>
          <w:tab w:val="clear" w:pos="1134"/>
          <w:tab w:val="clear" w:pos="1247"/>
          <w:tab w:val="clear" w:pos="1871"/>
          <w:tab w:val="left" w:pos="1843"/>
          <w:tab w:val="left" w:pos="2410"/>
        </w:tabs>
        <w:ind w:left="1276"/>
        <w:rPr>
          <w:lang w:val="fr-FR"/>
        </w:rPr>
      </w:pPr>
      <w:r>
        <w:rPr>
          <w:lang w:val="fr-FR"/>
        </w:rPr>
        <w:t>Un total de 182</w:t>
      </w:r>
      <w:r w:rsidR="00FA02F2" w:rsidRPr="00C579D1">
        <w:rPr>
          <w:lang w:val="fr-FR"/>
        </w:rPr>
        <w:t> flux mondiaux de données, en partenariat avec 22 institutions, et 2 </w:t>
      </w:r>
      <w:r w:rsidR="006C4C5E" w:rsidRPr="00C579D1">
        <w:rPr>
          <w:lang w:val="fr-FR"/>
        </w:rPr>
        <w:t>183</w:t>
      </w:r>
      <w:r w:rsidR="00FA02F2" w:rsidRPr="00C579D1">
        <w:rPr>
          <w:lang w:val="fr-FR"/>
        </w:rPr>
        <w:t> flux nationaux concernant les principaux thèmes environnementau</w:t>
      </w:r>
      <w:r w:rsidR="00410D34" w:rsidRPr="00C579D1">
        <w:rPr>
          <w:lang w:val="fr-FR"/>
        </w:rPr>
        <w:t>x et les indicateurs socio</w:t>
      </w:r>
      <w:r w:rsidR="00FA02F2" w:rsidRPr="00C579D1">
        <w:rPr>
          <w:lang w:val="fr-FR"/>
        </w:rPr>
        <w:t>économiques clés de 190 pays</w:t>
      </w:r>
      <w:r w:rsidR="006C4C5E" w:rsidRPr="00C579D1">
        <w:rPr>
          <w:lang w:val="fr-FR"/>
        </w:rPr>
        <w:t xml:space="preserve">; </w:t>
      </w:r>
    </w:p>
    <w:p w:rsidR="006C4C5E" w:rsidRPr="00C579D1" w:rsidRDefault="00FA02F2"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Neuf communautés de pratique co</w:t>
      </w:r>
      <w:r w:rsidR="00410D34" w:rsidRPr="00C579D1">
        <w:rPr>
          <w:lang w:val="fr-FR"/>
        </w:rPr>
        <w:t>m</w:t>
      </w:r>
      <w:r w:rsidRPr="00C579D1">
        <w:rPr>
          <w:lang w:val="fr-FR"/>
        </w:rPr>
        <w:t>ptant un total de 1 </w:t>
      </w:r>
      <w:r w:rsidR="00A83888" w:rsidRPr="00C579D1">
        <w:rPr>
          <w:lang w:val="fr-FR"/>
        </w:rPr>
        <w:t>547</w:t>
      </w:r>
      <w:r w:rsidRPr="00C579D1">
        <w:rPr>
          <w:lang w:val="fr-FR"/>
        </w:rPr>
        <w:t> membres enregistrés</w:t>
      </w:r>
      <w:r w:rsidR="006C4C5E" w:rsidRPr="00C579D1">
        <w:rPr>
          <w:lang w:val="fr-FR"/>
        </w:rPr>
        <w:t>;</w:t>
      </w:r>
      <w:r w:rsidR="000B309D" w:rsidRPr="00C579D1">
        <w:rPr>
          <w:lang w:val="fr-FR"/>
        </w:rPr>
        <w:t xml:space="preserve"> </w:t>
      </w:r>
    </w:p>
    <w:p w:rsidR="006C4C5E" w:rsidRPr="00C579D1" w:rsidRDefault="002A7EDE"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Un</w:t>
      </w:r>
      <w:r w:rsidR="00895AD0" w:rsidRPr="00C579D1">
        <w:rPr>
          <w:lang w:val="fr-FR"/>
        </w:rPr>
        <w:t xml:space="preserve"> </w:t>
      </w:r>
      <w:r w:rsidRPr="00C579D1">
        <w:rPr>
          <w:lang w:val="fr-FR"/>
        </w:rPr>
        <w:t xml:space="preserve">portail </w:t>
      </w:r>
      <w:r w:rsidR="002127B1">
        <w:rPr>
          <w:lang w:val="fr-FR"/>
        </w:rPr>
        <w:t>des objectifs de développement durable</w:t>
      </w:r>
      <w:r w:rsidRPr="00C579D1">
        <w:rPr>
          <w:lang w:val="fr-FR"/>
        </w:rPr>
        <w:t xml:space="preserve"> de la plateforme « Le PNUE en direct » qui établit des liens entre des indicateurs et des donné</w:t>
      </w:r>
      <w:r w:rsidR="007A0CAC" w:rsidRPr="00C579D1">
        <w:rPr>
          <w:lang w:val="fr-FR"/>
        </w:rPr>
        <w:t xml:space="preserve">es nationales et mondiales et </w:t>
      </w:r>
      <w:r w:rsidR="0008208E" w:rsidRPr="00C579D1">
        <w:rPr>
          <w:lang w:val="fr-FR"/>
        </w:rPr>
        <w:t xml:space="preserve">l’ontologie </w:t>
      </w:r>
      <w:r w:rsidR="002127B1">
        <w:rPr>
          <w:lang w:val="fr-FR"/>
        </w:rPr>
        <w:t>concernant ces objectifs</w:t>
      </w:r>
      <w:r w:rsidR="00895AD0" w:rsidRPr="00C579D1">
        <w:rPr>
          <w:lang w:val="fr-FR"/>
        </w:rPr>
        <w:t>;</w:t>
      </w:r>
    </w:p>
    <w:p w:rsidR="006C4C5E" w:rsidRPr="00C579D1" w:rsidRDefault="002A7EDE"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Un outil d’intelligence web multilingue </w:t>
      </w:r>
      <w:r w:rsidR="00272164" w:rsidRPr="00C579D1">
        <w:rPr>
          <w:lang w:val="fr-FR"/>
        </w:rPr>
        <w:t xml:space="preserve">permettant d’analyser les </w:t>
      </w:r>
      <w:r w:rsidRPr="00C579D1">
        <w:rPr>
          <w:lang w:val="fr-FR"/>
        </w:rPr>
        <w:t>informations non structurées provenant de</w:t>
      </w:r>
      <w:r w:rsidR="00272164" w:rsidRPr="00C579D1">
        <w:rPr>
          <w:lang w:val="fr-FR"/>
        </w:rPr>
        <w:t>s</w:t>
      </w:r>
      <w:r w:rsidRPr="00C579D1">
        <w:rPr>
          <w:lang w:val="fr-FR"/>
        </w:rPr>
        <w:t xml:space="preserve"> réseaux sociaux</w:t>
      </w:r>
      <w:r w:rsidR="00F90789" w:rsidRPr="00C579D1">
        <w:rPr>
          <w:lang w:val="fr-FR"/>
        </w:rPr>
        <w:t>,</w:t>
      </w:r>
      <w:r w:rsidRPr="00C579D1">
        <w:rPr>
          <w:lang w:val="fr-FR"/>
        </w:rPr>
        <w:t xml:space="preserve"> </w:t>
      </w:r>
      <w:r w:rsidR="00F90789" w:rsidRPr="00C579D1">
        <w:rPr>
          <w:lang w:val="fr-FR"/>
        </w:rPr>
        <w:t>de la communauté scientifique</w:t>
      </w:r>
      <w:r w:rsidRPr="00C579D1">
        <w:rPr>
          <w:lang w:val="fr-FR"/>
        </w:rPr>
        <w:t xml:space="preserve"> et</w:t>
      </w:r>
      <w:r w:rsidR="00F90789" w:rsidRPr="00C579D1">
        <w:rPr>
          <w:lang w:val="fr-FR"/>
        </w:rPr>
        <w:t xml:space="preserve"> des entreprises du monde entier, avec</w:t>
      </w:r>
      <w:r w:rsidR="00DD61E5" w:rsidRPr="00C579D1">
        <w:rPr>
          <w:lang w:val="fr-FR"/>
        </w:rPr>
        <w:t xml:space="preserve"> </w:t>
      </w:r>
      <w:r w:rsidR="00F90789" w:rsidRPr="00C579D1">
        <w:rPr>
          <w:lang w:val="fr-FR"/>
        </w:rPr>
        <w:t>une cartographie des entités et une analyse de la perception que les parties prenantes ont des principaux problèmes environnemen</w:t>
      </w:r>
      <w:r w:rsidR="00272164" w:rsidRPr="00C579D1">
        <w:rPr>
          <w:lang w:val="fr-FR"/>
        </w:rPr>
        <w:t>taux</w:t>
      </w:r>
      <w:r w:rsidR="006C4C5E" w:rsidRPr="00C579D1">
        <w:rPr>
          <w:lang w:val="fr-FR"/>
        </w:rPr>
        <w:t xml:space="preserve">; </w:t>
      </w:r>
    </w:p>
    <w:p w:rsidR="006C4C5E" w:rsidRPr="00C579D1" w:rsidRDefault="00272164"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lastRenderedPageBreak/>
        <w:t>Des pages sur des sujets d’actualité consultables par thème, par exemple, « émissions-incidences-changements climatiques », « qualité de l’air-santé-changements climatiques » et « présence du PNUE »</w:t>
      </w:r>
      <w:r w:rsidR="006C4C5E" w:rsidRPr="00C579D1">
        <w:rPr>
          <w:lang w:val="fr-FR"/>
        </w:rPr>
        <w:t xml:space="preserve">; </w:t>
      </w:r>
    </w:p>
    <w:p w:rsidR="006C4C5E" w:rsidRPr="00C579D1" w:rsidRDefault="002127B1" w:rsidP="00541B0D">
      <w:pPr>
        <w:pStyle w:val="Normalnumber"/>
        <w:numPr>
          <w:ilvl w:val="1"/>
          <w:numId w:val="4"/>
        </w:numPr>
        <w:tabs>
          <w:tab w:val="clear" w:pos="1134"/>
          <w:tab w:val="clear" w:pos="1247"/>
          <w:tab w:val="clear" w:pos="1871"/>
          <w:tab w:val="left" w:pos="1843"/>
          <w:tab w:val="left" w:pos="2410"/>
        </w:tabs>
        <w:ind w:left="1276"/>
        <w:rPr>
          <w:lang w:val="fr-FR"/>
        </w:rPr>
      </w:pPr>
      <w:r>
        <w:rPr>
          <w:lang w:val="fr-FR"/>
        </w:rPr>
        <w:t>La m</w:t>
      </w:r>
      <w:r w:rsidR="00272164" w:rsidRPr="00C579D1">
        <w:rPr>
          <w:lang w:val="fr-FR"/>
        </w:rPr>
        <w:t>ise en place du</w:t>
      </w:r>
      <w:r w:rsidR="00324F49" w:rsidRPr="00C579D1">
        <w:rPr>
          <w:lang w:val="fr-FR"/>
        </w:rPr>
        <w:t xml:space="preserve"> </w:t>
      </w:r>
      <w:r w:rsidR="00272164" w:rsidRPr="00C579D1">
        <w:rPr>
          <w:lang w:val="fr-FR"/>
        </w:rPr>
        <w:t>système de communication des informa</w:t>
      </w:r>
      <w:r w:rsidR="004B0C6D">
        <w:rPr>
          <w:lang w:val="fr-FR"/>
        </w:rPr>
        <w:t>tions sur les indicateurs de la </w:t>
      </w:r>
      <w:r w:rsidR="00272164" w:rsidRPr="00C579D1">
        <w:rPr>
          <w:lang w:val="fr-FR"/>
        </w:rPr>
        <w:t xml:space="preserve">plateforme « Le PNUE en direct » permettant aux pays de collecter, d’analyser et de </w:t>
      </w:r>
      <w:r w:rsidR="004A0EFD" w:rsidRPr="00C579D1">
        <w:rPr>
          <w:lang w:val="fr-FR"/>
        </w:rPr>
        <w:t>publier</w:t>
      </w:r>
      <w:r w:rsidR="00272164" w:rsidRPr="00C579D1">
        <w:rPr>
          <w:lang w:val="fr-FR"/>
        </w:rPr>
        <w:t xml:space="preserve"> des données </w:t>
      </w:r>
      <w:r w:rsidR="004A0EFD" w:rsidRPr="00C579D1">
        <w:rPr>
          <w:lang w:val="fr-FR"/>
        </w:rPr>
        <w:t xml:space="preserve">en vue de simplifier et de </w:t>
      </w:r>
      <w:r w:rsidR="00C579D1" w:rsidRPr="00C579D1">
        <w:rPr>
          <w:lang w:val="fr-FR"/>
        </w:rPr>
        <w:t>rationaliser</w:t>
      </w:r>
      <w:r w:rsidR="004A0EFD" w:rsidRPr="00C579D1">
        <w:rPr>
          <w:lang w:val="fr-FR"/>
        </w:rPr>
        <w:t xml:space="preserve"> les processus d’établissement de rapports aux niveaux national, régional et – par l’intermédiaire des accords multilatéraux sur l’environnement – mondial</w:t>
      </w:r>
      <w:r w:rsidR="006C4C5E" w:rsidRPr="00C579D1">
        <w:rPr>
          <w:lang w:val="fr-FR"/>
        </w:rPr>
        <w:t>.</w:t>
      </w:r>
      <w:r w:rsidR="004B0C6D">
        <w:rPr>
          <w:lang w:val="fr-FR"/>
        </w:rPr>
        <w:t xml:space="preserve"> À </w:t>
      </w:r>
      <w:r w:rsidR="004A0EFD" w:rsidRPr="00C579D1">
        <w:rPr>
          <w:lang w:val="fr-FR"/>
        </w:rPr>
        <w:t xml:space="preserve">ce jour, 22 visites ont été effectuées dans des pays, sur invitation des gouvernements, pour présenter la fonctionnalité du système et les avantages d’un accès ouvert aux données, le Samoa étant le premier pays </w:t>
      </w:r>
      <w:r w:rsidR="00C00C57" w:rsidRPr="00C579D1">
        <w:rPr>
          <w:lang w:val="fr-FR"/>
        </w:rPr>
        <w:t>à avoir signé</w:t>
      </w:r>
      <w:r w:rsidR="004A0EFD" w:rsidRPr="00C579D1">
        <w:rPr>
          <w:lang w:val="fr-FR"/>
        </w:rPr>
        <w:t xml:space="preserve"> un mémorandum d’accord avec le PNUE visant à faciliter le transfert de</w:t>
      </w:r>
      <w:r w:rsidR="00C00C57" w:rsidRPr="00C579D1">
        <w:rPr>
          <w:lang w:val="fr-FR"/>
        </w:rPr>
        <w:t xml:space="preserve"> technologie</w:t>
      </w:r>
      <w:r w:rsidR="006C4C5E" w:rsidRPr="00C579D1">
        <w:rPr>
          <w:lang w:val="fr-FR"/>
        </w:rPr>
        <w:t xml:space="preserve">; </w:t>
      </w:r>
    </w:p>
    <w:p w:rsidR="006C4C5E" w:rsidRPr="00C579D1" w:rsidRDefault="00C00C57"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Un portail de science citoyenne de la plateforme</w:t>
      </w:r>
      <w:r w:rsidR="008D035A" w:rsidRPr="00C579D1">
        <w:rPr>
          <w:lang w:val="fr-FR"/>
        </w:rPr>
        <w:t xml:space="preserve"> </w:t>
      </w:r>
      <w:r w:rsidRPr="00C579D1">
        <w:rPr>
          <w:lang w:val="fr-FR"/>
        </w:rPr>
        <w:t xml:space="preserve">« Le PNUE en direct » pour les initiatives </w:t>
      </w:r>
      <w:r w:rsidR="000A3A78" w:rsidRPr="00C579D1">
        <w:rPr>
          <w:lang w:val="fr-FR"/>
        </w:rPr>
        <w:t>concernant les</w:t>
      </w:r>
      <w:r w:rsidRPr="00C579D1">
        <w:rPr>
          <w:lang w:val="fr-FR"/>
        </w:rPr>
        <w:t xml:space="preserve"> données environnementales </w:t>
      </w:r>
      <w:r w:rsidR="000A3A78" w:rsidRPr="00C579D1">
        <w:rPr>
          <w:lang w:val="fr-FR"/>
        </w:rPr>
        <w:t>relatives à</w:t>
      </w:r>
      <w:r w:rsidRPr="00C579D1">
        <w:rPr>
          <w:lang w:val="fr-FR"/>
        </w:rPr>
        <w:t xml:space="preserve"> la science citoyenne</w:t>
      </w:r>
      <w:r w:rsidR="00C902B6" w:rsidRPr="00C579D1">
        <w:rPr>
          <w:lang w:val="fr-FR"/>
        </w:rPr>
        <w:t xml:space="preserve"> </w:t>
      </w:r>
      <w:r w:rsidRPr="00C579D1">
        <w:rPr>
          <w:lang w:val="fr-FR"/>
        </w:rPr>
        <w:t>et la visualisation de ces données</w:t>
      </w:r>
      <w:r w:rsidR="006C4C5E" w:rsidRPr="00C579D1">
        <w:rPr>
          <w:lang w:val="fr-FR"/>
        </w:rPr>
        <w:t>;</w:t>
      </w:r>
    </w:p>
    <w:p w:rsidR="006C4C5E" w:rsidRPr="00C579D1" w:rsidRDefault="00C00C57"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Un banc d’essai pour</w:t>
      </w:r>
      <w:r w:rsidR="006C4C5E" w:rsidRPr="00C579D1">
        <w:rPr>
          <w:lang w:val="fr-FR"/>
        </w:rPr>
        <w:t xml:space="preserve"> </w:t>
      </w:r>
      <w:r w:rsidR="008A14DC" w:rsidRPr="00C579D1">
        <w:rPr>
          <w:lang w:val="fr-FR"/>
        </w:rPr>
        <w:t>la</w:t>
      </w:r>
      <w:r w:rsidR="000B309D" w:rsidRPr="00C579D1">
        <w:rPr>
          <w:lang w:val="fr-FR"/>
        </w:rPr>
        <w:t xml:space="preserve"> </w:t>
      </w:r>
      <w:r w:rsidR="008A14DC" w:rsidRPr="00C579D1">
        <w:rPr>
          <w:lang w:val="fr-FR"/>
        </w:rPr>
        <w:t>surveillance de l’environnement au moyen d’un senseur fonctionnant avec le web</w:t>
      </w:r>
      <w:r w:rsidR="005317AA" w:rsidRPr="00C579D1">
        <w:rPr>
          <w:lang w:val="fr-FR"/>
        </w:rPr>
        <w:t>,</w:t>
      </w:r>
      <w:r w:rsidR="008A14DC" w:rsidRPr="00C579D1">
        <w:rPr>
          <w:lang w:val="fr-FR"/>
        </w:rPr>
        <w:t xml:space="preserve"> le premier produit étant </w:t>
      </w:r>
      <w:r w:rsidR="007E6251" w:rsidRPr="00C579D1">
        <w:rPr>
          <w:lang w:val="fr-FR"/>
        </w:rPr>
        <w:t>l’instrument</w:t>
      </w:r>
      <w:r w:rsidR="008A14DC" w:rsidRPr="00C579D1">
        <w:rPr>
          <w:lang w:val="fr-FR"/>
        </w:rPr>
        <w:t xml:space="preserve"> de surveillance de la qualité de l</w:t>
      </w:r>
      <w:r w:rsidR="007E6251" w:rsidRPr="00C579D1">
        <w:rPr>
          <w:lang w:val="fr-FR"/>
        </w:rPr>
        <w:t>’air du PNUE, qui peut être mis</w:t>
      </w:r>
      <w:r w:rsidR="008A14DC" w:rsidRPr="00C579D1">
        <w:rPr>
          <w:lang w:val="fr-FR"/>
        </w:rPr>
        <w:t xml:space="preserve"> en réseau pour fournir des statistiques géographiques précises sur l’exposition aux particules dans l’air ambiant et aux gaz dans des zones urbaines et rurales</w:t>
      </w:r>
      <w:r w:rsidR="00C93ABB" w:rsidRPr="00C579D1">
        <w:rPr>
          <w:lang w:val="fr-FR"/>
        </w:rPr>
        <w:t>.</w:t>
      </w:r>
    </w:p>
    <w:p w:rsidR="006C4C5E" w:rsidRPr="00C579D1" w:rsidRDefault="00F66BF1" w:rsidP="00541B0D">
      <w:pPr>
        <w:pStyle w:val="Normalnumber"/>
        <w:tabs>
          <w:tab w:val="clear" w:pos="967"/>
          <w:tab w:val="clear" w:pos="1247"/>
          <w:tab w:val="clear" w:pos="1871"/>
          <w:tab w:val="left" w:pos="1843"/>
        </w:tabs>
        <w:ind w:left="1260"/>
        <w:rPr>
          <w:lang w:val="fr-FR"/>
        </w:rPr>
      </w:pPr>
      <w:r w:rsidRPr="00C579D1">
        <w:rPr>
          <w:lang w:val="fr-FR"/>
        </w:rPr>
        <w:t>Le nombre de visites de sites web et de pages vues ayant augmenté de 198</w:t>
      </w:r>
      <w:r w:rsidR="000A3A78" w:rsidRPr="00C579D1">
        <w:rPr>
          <w:lang w:val="fr-FR"/>
        </w:rPr>
        <w:t> %</w:t>
      </w:r>
      <w:r w:rsidRPr="00C579D1">
        <w:rPr>
          <w:lang w:val="fr-FR"/>
        </w:rPr>
        <w:t xml:space="preserve"> et </w:t>
      </w:r>
      <w:r w:rsidR="00A61451" w:rsidRPr="00C579D1">
        <w:rPr>
          <w:lang w:val="fr-FR"/>
        </w:rPr>
        <w:t>190</w:t>
      </w:r>
      <w:r w:rsidRPr="00C579D1">
        <w:rPr>
          <w:lang w:val="fr-FR"/>
        </w:rPr>
        <w:t xml:space="preserve"> % en 2015 par rapport à </w:t>
      </w:r>
      <w:r w:rsidR="00D35B27" w:rsidRPr="00C579D1">
        <w:rPr>
          <w:lang w:val="fr-FR"/>
        </w:rPr>
        <w:t>2014</w:t>
      </w:r>
      <w:r w:rsidR="00A61451" w:rsidRPr="00C579D1">
        <w:rPr>
          <w:lang w:val="fr-FR"/>
        </w:rPr>
        <w:t xml:space="preserve">, </w:t>
      </w:r>
      <w:r w:rsidRPr="00C579D1">
        <w:rPr>
          <w:lang w:val="fr-FR"/>
        </w:rPr>
        <w:t>le</w:t>
      </w:r>
      <w:r w:rsidR="006C4C5E" w:rsidRPr="00C579D1">
        <w:rPr>
          <w:lang w:val="fr-FR"/>
        </w:rPr>
        <w:t xml:space="preserve"> plan </w:t>
      </w:r>
      <w:r w:rsidRPr="00C579D1">
        <w:rPr>
          <w:lang w:val="fr-FR"/>
        </w:rPr>
        <w:t>de développement de la plateforme « Le PNUE en direct »</w:t>
      </w:r>
      <w:r w:rsidR="006C4C5E" w:rsidRPr="00C579D1">
        <w:rPr>
          <w:lang w:val="fr-FR"/>
        </w:rPr>
        <w:t xml:space="preserve"> </w:t>
      </w:r>
      <w:r w:rsidRPr="00C579D1">
        <w:rPr>
          <w:lang w:val="fr-FR"/>
        </w:rPr>
        <w:t>pendant l’exercice biennal</w:t>
      </w:r>
      <w:r w:rsidR="006C4C5E" w:rsidRPr="00C579D1">
        <w:rPr>
          <w:lang w:val="fr-FR"/>
        </w:rPr>
        <w:t xml:space="preserve"> 2016</w:t>
      </w:r>
      <w:r w:rsidR="00F02DEC">
        <w:rPr>
          <w:lang w:val="fr-FR"/>
        </w:rPr>
        <w:t>-</w:t>
      </w:r>
      <w:r w:rsidR="005317AA" w:rsidRPr="00C579D1">
        <w:rPr>
          <w:lang w:val="fr-FR"/>
        </w:rPr>
        <w:t>20</w:t>
      </w:r>
      <w:r w:rsidR="006C4C5E" w:rsidRPr="00C579D1">
        <w:rPr>
          <w:lang w:val="fr-FR"/>
        </w:rPr>
        <w:t xml:space="preserve">17 </w:t>
      </w:r>
      <w:r w:rsidRPr="00C579D1">
        <w:rPr>
          <w:lang w:val="fr-FR"/>
        </w:rPr>
        <w:t>est le suivant </w:t>
      </w:r>
      <w:r w:rsidR="006C4C5E" w:rsidRPr="00C579D1">
        <w:rPr>
          <w:lang w:val="fr-FR"/>
        </w:rPr>
        <w:t xml:space="preserve">: </w:t>
      </w:r>
    </w:p>
    <w:p w:rsidR="006C4C5E" w:rsidRPr="00C579D1" w:rsidRDefault="00F66BF1"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Continuer d’enrichir la plateforme « Le PNUE en direct » avec des contenus nouveaux et pertinents</w:t>
      </w:r>
      <w:r w:rsidR="001B41A0" w:rsidRPr="00C579D1">
        <w:rPr>
          <w:lang w:val="fr-FR"/>
        </w:rPr>
        <w:t xml:space="preserve"> liés à des ressources du PNUE et des Nations Unies et permettre aux pays et à d’autres fournisseurs de données de partager des données et des connaissances</w:t>
      </w:r>
      <w:r w:rsidR="006C4C5E" w:rsidRPr="00C579D1">
        <w:rPr>
          <w:lang w:val="fr-FR"/>
        </w:rPr>
        <w:t>;</w:t>
      </w:r>
    </w:p>
    <w:p w:rsidR="006C4C5E" w:rsidRPr="00C579D1" w:rsidRDefault="001B41A0"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Aider les pays à </w:t>
      </w:r>
      <w:r w:rsidR="00C579D1" w:rsidRPr="00C579D1">
        <w:rPr>
          <w:lang w:val="fr-FR"/>
        </w:rPr>
        <w:t>rationaliser</w:t>
      </w:r>
      <w:r w:rsidRPr="00C579D1">
        <w:rPr>
          <w:lang w:val="fr-FR"/>
        </w:rPr>
        <w:t xml:space="preserve"> leurs flux de données et</w:t>
      </w:r>
      <w:r w:rsidR="00221E44" w:rsidRPr="00C579D1">
        <w:rPr>
          <w:lang w:val="fr-FR"/>
        </w:rPr>
        <w:t xml:space="preserve"> leurs</w:t>
      </w:r>
      <w:r w:rsidRPr="00C579D1">
        <w:rPr>
          <w:lang w:val="fr-FR"/>
        </w:rPr>
        <w:t xml:space="preserve"> indicateurs aux fins d’une utilisation aux niveaux national et international, notamment dans le cadre de l’établissement de rapports sur l’état de l’environnement au titre des accords multilatéraux sur l’environnement</w:t>
      </w:r>
      <w:r w:rsidR="00BD5333" w:rsidRPr="00C579D1">
        <w:rPr>
          <w:lang w:val="fr-FR"/>
        </w:rPr>
        <w:t xml:space="preserve"> </w:t>
      </w:r>
      <w:r w:rsidR="00221E44" w:rsidRPr="00C579D1">
        <w:rPr>
          <w:lang w:val="fr-FR"/>
        </w:rPr>
        <w:t xml:space="preserve">et </w:t>
      </w:r>
      <w:r w:rsidR="00BE380A" w:rsidRPr="00C579D1">
        <w:rPr>
          <w:lang w:val="fr-FR"/>
        </w:rPr>
        <w:t>sur les</w:t>
      </w:r>
      <w:r w:rsidR="00221E44" w:rsidRPr="00C579D1">
        <w:rPr>
          <w:lang w:val="fr-FR"/>
        </w:rPr>
        <w:t xml:space="preserve"> progrès accomplis dans la réalisation des objectifs de développement durable</w:t>
      </w:r>
      <w:r w:rsidR="006C4C5E" w:rsidRPr="00C579D1">
        <w:rPr>
          <w:lang w:val="fr-FR"/>
        </w:rPr>
        <w:t xml:space="preserve">; </w:t>
      </w:r>
    </w:p>
    <w:p w:rsidR="006C4C5E" w:rsidRPr="00C579D1" w:rsidRDefault="00221E44"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Faciliter l’établissement de rapports par l’utilisation de la technologie du système d’établissement de rapports nationaux transférée aux pays par le PNUE, sur demande et gratuitement, et par un appui continu </w:t>
      </w:r>
      <w:r w:rsidR="005553CF" w:rsidRPr="00C579D1">
        <w:rPr>
          <w:lang w:val="fr-FR"/>
        </w:rPr>
        <w:t xml:space="preserve">à un accès ouvert aux données permettant aux pays de partager les données, </w:t>
      </w:r>
      <w:r w:rsidR="004B0C6D">
        <w:rPr>
          <w:lang w:val="fr-FR"/>
        </w:rPr>
        <w:t>les </w:t>
      </w:r>
      <w:r w:rsidR="005553CF" w:rsidRPr="00C579D1">
        <w:rPr>
          <w:lang w:val="fr-FR"/>
        </w:rPr>
        <w:t xml:space="preserve">statistiques et </w:t>
      </w:r>
      <w:r w:rsidR="000A3A78" w:rsidRPr="00C579D1">
        <w:rPr>
          <w:lang w:val="fr-FR"/>
        </w:rPr>
        <w:t xml:space="preserve">les </w:t>
      </w:r>
      <w:r w:rsidR="005553CF" w:rsidRPr="00C579D1">
        <w:rPr>
          <w:lang w:val="fr-FR"/>
        </w:rPr>
        <w:t>informations nationales</w:t>
      </w:r>
      <w:r w:rsidR="006C4C5E" w:rsidRPr="00C579D1">
        <w:rPr>
          <w:lang w:val="fr-FR"/>
        </w:rPr>
        <w:t>;</w:t>
      </w:r>
    </w:p>
    <w:p w:rsidR="006C4C5E" w:rsidRPr="00C579D1" w:rsidRDefault="005E7C73"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Développer le portail </w:t>
      </w:r>
      <w:r w:rsidR="002127B1">
        <w:rPr>
          <w:lang w:val="fr-FR"/>
        </w:rPr>
        <w:t>des objectifs de développement durable</w:t>
      </w:r>
      <w:r w:rsidRPr="00C579D1">
        <w:rPr>
          <w:lang w:val="fr-FR"/>
        </w:rPr>
        <w:t xml:space="preserve"> de la plateforme</w:t>
      </w:r>
      <w:r w:rsidR="008D035A" w:rsidRPr="00C579D1">
        <w:rPr>
          <w:lang w:val="fr-FR"/>
        </w:rPr>
        <w:t xml:space="preserve"> </w:t>
      </w:r>
      <w:r w:rsidR="004B0C6D">
        <w:rPr>
          <w:lang w:val="fr-FR"/>
        </w:rPr>
        <w:t>« Le </w:t>
      </w:r>
      <w:r w:rsidRPr="00C579D1">
        <w:rPr>
          <w:lang w:val="fr-FR"/>
        </w:rPr>
        <w:t>PNUE en direct » en co</w:t>
      </w:r>
      <w:r w:rsidR="007A0CAC" w:rsidRPr="00C579D1">
        <w:rPr>
          <w:lang w:val="fr-FR"/>
        </w:rPr>
        <w:t xml:space="preserve">mplétant les définitions pour </w:t>
      </w:r>
      <w:r w:rsidR="0008208E" w:rsidRPr="00C579D1">
        <w:rPr>
          <w:lang w:val="fr-FR"/>
        </w:rPr>
        <w:t xml:space="preserve">l’ontologie </w:t>
      </w:r>
      <w:r w:rsidR="002127B1">
        <w:rPr>
          <w:lang w:val="fr-FR"/>
        </w:rPr>
        <w:t>concernant ces objectifs</w:t>
      </w:r>
      <w:r w:rsidR="0008208E" w:rsidRPr="00C579D1">
        <w:rPr>
          <w:lang w:val="fr-FR"/>
        </w:rPr>
        <w:t xml:space="preserve"> </w:t>
      </w:r>
      <w:r w:rsidRPr="00C579D1">
        <w:rPr>
          <w:lang w:val="fr-FR"/>
        </w:rPr>
        <w:t>et en établissant des liens avec le catalogue des données du système des Nations Unies</w:t>
      </w:r>
      <w:r w:rsidR="00A61451" w:rsidRPr="00C579D1">
        <w:rPr>
          <w:lang w:val="fr-FR"/>
        </w:rPr>
        <w:t>;</w:t>
      </w:r>
    </w:p>
    <w:p w:rsidR="006C4C5E" w:rsidRPr="00C579D1" w:rsidRDefault="00E121BE"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 xml:space="preserve">Renforcer les initiatives interinstitutions des Nations Unies et les partenariats externes en vue de fournir </w:t>
      </w:r>
      <w:r w:rsidR="008C194C" w:rsidRPr="00C579D1">
        <w:rPr>
          <w:lang w:val="fr-FR"/>
        </w:rPr>
        <w:t xml:space="preserve">aux processus d’évaluation du PNUE </w:t>
      </w:r>
      <w:r w:rsidRPr="00C579D1">
        <w:rPr>
          <w:lang w:val="fr-FR"/>
        </w:rPr>
        <w:t xml:space="preserve">des données et des indicateurs </w:t>
      </w:r>
      <w:r w:rsidR="008C194C" w:rsidRPr="00C579D1">
        <w:rPr>
          <w:lang w:val="fr-FR"/>
        </w:rPr>
        <w:t xml:space="preserve">environnementaux </w:t>
      </w:r>
      <w:r w:rsidRPr="00C579D1">
        <w:rPr>
          <w:lang w:val="fr-FR"/>
        </w:rPr>
        <w:t xml:space="preserve">scientifiquement fiables et </w:t>
      </w:r>
      <w:r w:rsidR="008C194C" w:rsidRPr="00C579D1">
        <w:rPr>
          <w:lang w:val="fr-FR"/>
        </w:rPr>
        <w:t>pertinents pour les politiques</w:t>
      </w:r>
      <w:r w:rsidR="006C4C5E" w:rsidRPr="00C579D1">
        <w:rPr>
          <w:lang w:val="fr-FR"/>
        </w:rPr>
        <w:t>;</w:t>
      </w:r>
    </w:p>
    <w:p w:rsidR="006C4C5E" w:rsidRPr="00C579D1" w:rsidRDefault="008C194C"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Continuer de partager les données et les connaissances de groupes</w:t>
      </w:r>
      <w:r w:rsidR="00BD5333" w:rsidRPr="00C579D1">
        <w:rPr>
          <w:lang w:val="fr-FR"/>
        </w:rPr>
        <w:t xml:space="preserve"> </w:t>
      </w:r>
      <w:r w:rsidRPr="00C579D1">
        <w:rPr>
          <w:lang w:val="fr-FR"/>
        </w:rPr>
        <w:t>reconnus représentant des peuples traditionnels et autochtones et élaborer des outils et des directives aux fins de leur utilisation dans des évaluations en collaboration avec la</w:t>
      </w:r>
      <w:r w:rsidR="006C4C5E" w:rsidRPr="00C579D1">
        <w:rPr>
          <w:lang w:val="fr-FR"/>
        </w:rPr>
        <w:t xml:space="preserve"> </w:t>
      </w:r>
      <w:r w:rsidRPr="00C579D1">
        <w:rPr>
          <w:lang w:val="fr-FR"/>
        </w:rPr>
        <w:t>Plateforme intergouvernementale scientifique et politique sur la biodiversité et les services écosystémiques</w:t>
      </w:r>
      <w:r w:rsidR="006C4C5E" w:rsidRPr="00C579D1">
        <w:rPr>
          <w:lang w:val="fr-FR"/>
        </w:rPr>
        <w:t>;</w:t>
      </w:r>
    </w:p>
    <w:p w:rsidR="006C4C5E" w:rsidRPr="00C579D1" w:rsidRDefault="008C194C"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Faciliter l’accès aux initiatives pertinentes relatives à la science citoyenne, notamment les initiatives spéciales « </w:t>
      </w:r>
      <w:r w:rsidR="006C4C5E" w:rsidRPr="00C579D1">
        <w:rPr>
          <w:lang w:val="fr-FR"/>
        </w:rPr>
        <w:t>Eye on Earth</w:t>
      </w:r>
      <w:r w:rsidRPr="00C579D1">
        <w:rPr>
          <w:lang w:val="fr-FR"/>
        </w:rPr>
        <w:t> » entreprises par l’intermédiaire du portail de science citoyenne de la plateforme</w:t>
      </w:r>
      <w:r w:rsidR="008D035A" w:rsidRPr="00C579D1">
        <w:rPr>
          <w:lang w:val="fr-FR"/>
        </w:rPr>
        <w:t xml:space="preserve"> </w:t>
      </w:r>
      <w:r w:rsidRPr="00C579D1">
        <w:rPr>
          <w:lang w:val="fr-FR"/>
        </w:rPr>
        <w:t>« Le PNUE en direct »</w:t>
      </w:r>
      <w:r w:rsidR="006C4C5E" w:rsidRPr="00C579D1">
        <w:rPr>
          <w:lang w:val="fr-FR"/>
        </w:rPr>
        <w:t xml:space="preserve">; </w:t>
      </w:r>
    </w:p>
    <w:p w:rsidR="006C4C5E" w:rsidRPr="00C579D1" w:rsidRDefault="003706FA"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Établir de nombreux liens avec le portefeuille de projets du FEM et les travaux</w:t>
      </w:r>
      <w:r w:rsidR="00784403" w:rsidRPr="00C579D1">
        <w:rPr>
          <w:lang w:val="fr-FR"/>
        </w:rPr>
        <w:t xml:space="preserve"> </w:t>
      </w:r>
      <w:r w:rsidRPr="00C579D1">
        <w:rPr>
          <w:lang w:val="fr-FR"/>
        </w:rPr>
        <w:t>du Groupe consultatif scientifique et technique du Fonds dans le cadre de systèmes communs de gestion des connaissances</w:t>
      </w:r>
      <w:r w:rsidR="006C4C5E" w:rsidRPr="00C579D1">
        <w:rPr>
          <w:lang w:val="fr-FR"/>
        </w:rPr>
        <w:t>;</w:t>
      </w:r>
    </w:p>
    <w:p w:rsidR="006C4C5E" w:rsidRPr="00C579D1" w:rsidRDefault="003706FA"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Publier les outils de gestion des connaissances et d’intelligence web du PNUE dans les six langues officielles des Nations Unies</w:t>
      </w:r>
      <w:r w:rsidR="006C4C5E" w:rsidRPr="00C579D1">
        <w:rPr>
          <w:lang w:val="fr-FR"/>
        </w:rPr>
        <w:t>;</w:t>
      </w:r>
    </w:p>
    <w:p w:rsidR="006C4C5E" w:rsidRPr="00C579D1" w:rsidRDefault="002611A3"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t>Continuer d’appuyer une collaboration continue avec les bureaux régionaux du PNUE afin de veiller à ce que la plateforme</w:t>
      </w:r>
      <w:r w:rsidR="008D035A" w:rsidRPr="00C579D1">
        <w:rPr>
          <w:lang w:val="fr-FR"/>
        </w:rPr>
        <w:t xml:space="preserve"> </w:t>
      </w:r>
      <w:r w:rsidRPr="00C579D1">
        <w:rPr>
          <w:lang w:val="fr-FR"/>
        </w:rPr>
        <w:t>« Le P</w:t>
      </w:r>
      <w:r w:rsidR="000A3A78" w:rsidRPr="00C579D1">
        <w:rPr>
          <w:lang w:val="fr-FR"/>
        </w:rPr>
        <w:t>NUE en direct » soit un service à l’échelle régionale facilitant</w:t>
      </w:r>
      <w:r w:rsidRPr="00C579D1">
        <w:rPr>
          <w:lang w:val="fr-FR"/>
        </w:rPr>
        <w:t xml:space="preserve"> les flux de données environnementales nationales et le transfert de technologie pour le système d’établissement de rapports nationaux </w:t>
      </w:r>
      <w:r w:rsidR="00D35B27" w:rsidRPr="00C579D1">
        <w:rPr>
          <w:lang w:val="fr-FR"/>
        </w:rPr>
        <w:t xml:space="preserve">– </w:t>
      </w:r>
      <w:r w:rsidRPr="00C579D1">
        <w:rPr>
          <w:lang w:val="fr-FR"/>
        </w:rPr>
        <w:t>et des liens vers des technologies équivalentes</w:t>
      </w:r>
      <w:r w:rsidR="00D35B27" w:rsidRPr="00C579D1">
        <w:rPr>
          <w:lang w:val="fr-FR"/>
        </w:rPr>
        <w:t xml:space="preserve"> –</w:t>
      </w:r>
      <w:r w:rsidR="006C4C5E" w:rsidRPr="00C579D1">
        <w:rPr>
          <w:lang w:val="fr-FR"/>
        </w:rPr>
        <w:t xml:space="preserve"> </w:t>
      </w:r>
      <w:r w:rsidR="009A57F0" w:rsidRPr="00C579D1">
        <w:rPr>
          <w:lang w:val="fr-FR"/>
        </w:rPr>
        <w:t>afin de soutenir l’établissement de rapports nationaux sur l’état de l’environnement et</w:t>
      </w:r>
      <w:r w:rsidR="00BE380A" w:rsidRPr="00C579D1">
        <w:rPr>
          <w:lang w:val="fr-FR"/>
        </w:rPr>
        <w:t xml:space="preserve"> sur</w:t>
      </w:r>
      <w:r w:rsidR="006C4C5E" w:rsidRPr="00C579D1">
        <w:rPr>
          <w:lang w:val="fr-FR"/>
        </w:rPr>
        <w:t xml:space="preserve"> </w:t>
      </w:r>
      <w:r w:rsidR="00BE380A" w:rsidRPr="00C579D1">
        <w:rPr>
          <w:lang w:val="fr-FR"/>
        </w:rPr>
        <w:t>les</w:t>
      </w:r>
      <w:r w:rsidR="009A57F0" w:rsidRPr="00C579D1">
        <w:rPr>
          <w:lang w:val="fr-FR"/>
        </w:rPr>
        <w:t xml:space="preserve"> progrès accomplis dans la réalisation des objectifs de développement durable</w:t>
      </w:r>
      <w:r w:rsidR="006C4C5E" w:rsidRPr="00C579D1">
        <w:rPr>
          <w:lang w:val="fr-FR"/>
        </w:rPr>
        <w:t>;</w:t>
      </w:r>
    </w:p>
    <w:p w:rsidR="006C4C5E" w:rsidRPr="00C579D1" w:rsidRDefault="00536B77" w:rsidP="00541B0D">
      <w:pPr>
        <w:pStyle w:val="Normalnumber"/>
        <w:numPr>
          <w:ilvl w:val="1"/>
          <w:numId w:val="4"/>
        </w:numPr>
        <w:tabs>
          <w:tab w:val="clear" w:pos="1134"/>
          <w:tab w:val="clear" w:pos="1247"/>
          <w:tab w:val="clear" w:pos="1871"/>
          <w:tab w:val="left" w:pos="1843"/>
          <w:tab w:val="left" w:pos="2410"/>
        </w:tabs>
        <w:ind w:left="1276"/>
        <w:rPr>
          <w:lang w:val="fr-FR"/>
        </w:rPr>
      </w:pPr>
      <w:r w:rsidRPr="00C579D1">
        <w:rPr>
          <w:lang w:val="fr-FR"/>
        </w:rPr>
        <w:lastRenderedPageBreak/>
        <w:t>Tenir des conférences</w:t>
      </w:r>
      <w:r w:rsidR="00784403" w:rsidRPr="00C579D1">
        <w:rPr>
          <w:lang w:val="fr-FR"/>
        </w:rPr>
        <w:t xml:space="preserve"> </w:t>
      </w:r>
      <w:r w:rsidRPr="00C579D1">
        <w:rPr>
          <w:lang w:val="fr-FR"/>
        </w:rPr>
        <w:t>des réseaux régionaux d’information sur l’environnement afin d’appuyer le renforcement des capacités pour l’établissement de rapports nationaux, régionaux et mondiaux, notamment</w:t>
      </w:r>
      <w:r w:rsidRPr="00C579D1">
        <w:rPr>
          <w:bCs/>
          <w:lang w:val="fr-FR"/>
        </w:rPr>
        <w:t xml:space="preserve"> sur les objectifs de développement durable</w:t>
      </w:r>
      <w:r w:rsidR="006C4C5E" w:rsidRPr="00C579D1">
        <w:rPr>
          <w:bCs/>
          <w:lang w:val="fr-FR"/>
        </w:rPr>
        <w:t>.</w:t>
      </w:r>
    </w:p>
    <w:tbl>
      <w:tblPr>
        <w:tblW w:w="0" w:type="auto"/>
        <w:jc w:val="right"/>
        <w:tblCellMar>
          <w:top w:w="28" w:type="dxa"/>
          <w:left w:w="17" w:type="dxa"/>
          <w:bottom w:w="28" w:type="dxa"/>
          <w:right w:w="17" w:type="dxa"/>
        </w:tblCellMar>
        <w:tblLook w:val="04A0" w:firstRow="1" w:lastRow="0" w:firstColumn="1" w:lastColumn="0" w:noHBand="0" w:noVBand="1"/>
      </w:tblPr>
      <w:tblGrid>
        <w:gridCol w:w="1942"/>
        <w:gridCol w:w="1942"/>
        <w:gridCol w:w="1942"/>
        <w:gridCol w:w="1943"/>
        <w:gridCol w:w="1943"/>
      </w:tblGrid>
      <w:tr w:rsidR="00CB732D" w:rsidRPr="00C579D1" w:rsidTr="000E3AF5">
        <w:trPr>
          <w:jc w:val="right"/>
        </w:trPr>
        <w:tc>
          <w:tcPr>
            <w:tcW w:w="1942" w:type="dxa"/>
            <w:shd w:val="clear" w:color="auto" w:fill="auto"/>
            <w:tcMar>
              <w:left w:w="57" w:type="dxa"/>
              <w:right w:w="57" w:type="dxa"/>
            </w:tcMar>
          </w:tcPr>
          <w:p w:rsidR="00CB732D" w:rsidRPr="00C579D1" w:rsidRDefault="00CB732D" w:rsidP="000E3AF5">
            <w:pPr>
              <w:pStyle w:val="Normal-pool"/>
              <w:spacing w:before="520"/>
              <w:rPr>
                <w:sz w:val="18"/>
                <w:szCs w:val="18"/>
                <w:lang w:val="fr-FR"/>
              </w:rPr>
            </w:pPr>
          </w:p>
        </w:tc>
        <w:tc>
          <w:tcPr>
            <w:tcW w:w="1942" w:type="dxa"/>
            <w:shd w:val="clear" w:color="auto" w:fill="auto"/>
            <w:tcMar>
              <w:left w:w="57" w:type="dxa"/>
              <w:right w:w="57" w:type="dxa"/>
            </w:tcMar>
          </w:tcPr>
          <w:p w:rsidR="00CB732D" w:rsidRPr="00C579D1" w:rsidRDefault="00CB732D" w:rsidP="000E3AF5">
            <w:pPr>
              <w:pStyle w:val="Normal-pool"/>
              <w:spacing w:before="520"/>
              <w:rPr>
                <w:sz w:val="18"/>
                <w:szCs w:val="18"/>
                <w:lang w:val="fr-FR"/>
              </w:rPr>
            </w:pPr>
          </w:p>
        </w:tc>
        <w:tc>
          <w:tcPr>
            <w:tcW w:w="1942" w:type="dxa"/>
            <w:tcBorders>
              <w:bottom w:val="single" w:sz="4" w:space="0" w:color="auto"/>
            </w:tcBorders>
            <w:shd w:val="clear" w:color="auto" w:fill="auto"/>
            <w:tcMar>
              <w:left w:w="57" w:type="dxa"/>
              <w:right w:w="57" w:type="dxa"/>
            </w:tcMar>
          </w:tcPr>
          <w:p w:rsidR="00CB732D" w:rsidRPr="00C579D1" w:rsidRDefault="00CB732D" w:rsidP="000E3AF5">
            <w:pPr>
              <w:pStyle w:val="Normal-pool"/>
              <w:spacing w:before="520"/>
              <w:rPr>
                <w:sz w:val="18"/>
                <w:szCs w:val="18"/>
                <w:lang w:val="fr-FR"/>
              </w:rPr>
            </w:pPr>
          </w:p>
        </w:tc>
        <w:tc>
          <w:tcPr>
            <w:tcW w:w="1943" w:type="dxa"/>
            <w:shd w:val="clear" w:color="auto" w:fill="auto"/>
            <w:tcMar>
              <w:left w:w="57" w:type="dxa"/>
              <w:right w:w="57" w:type="dxa"/>
            </w:tcMar>
          </w:tcPr>
          <w:p w:rsidR="00CB732D" w:rsidRPr="00C579D1" w:rsidRDefault="00CB732D" w:rsidP="000E3AF5">
            <w:pPr>
              <w:pStyle w:val="Normal-pool"/>
              <w:spacing w:before="520"/>
              <w:rPr>
                <w:sz w:val="18"/>
                <w:szCs w:val="18"/>
                <w:lang w:val="fr-FR"/>
              </w:rPr>
            </w:pPr>
          </w:p>
        </w:tc>
        <w:tc>
          <w:tcPr>
            <w:tcW w:w="1943" w:type="dxa"/>
            <w:shd w:val="clear" w:color="auto" w:fill="auto"/>
            <w:tcMar>
              <w:left w:w="57" w:type="dxa"/>
              <w:right w:w="57" w:type="dxa"/>
            </w:tcMar>
          </w:tcPr>
          <w:p w:rsidR="00CB732D" w:rsidRPr="00C579D1" w:rsidRDefault="00CB732D" w:rsidP="000E3AF5">
            <w:pPr>
              <w:pStyle w:val="Normal-pool"/>
              <w:spacing w:before="520"/>
              <w:rPr>
                <w:sz w:val="18"/>
                <w:szCs w:val="18"/>
                <w:lang w:val="fr-FR"/>
              </w:rPr>
            </w:pPr>
          </w:p>
        </w:tc>
      </w:tr>
    </w:tbl>
    <w:p w:rsidR="00012C16" w:rsidRPr="00C579D1" w:rsidRDefault="00012C16" w:rsidP="001C40EE">
      <w:pPr>
        <w:pStyle w:val="Normal-pool"/>
        <w:rPr>
          <w:lang w:val="fr-FR"/>
        </w:rPr>
      </w:pPr>
    </w:p>
    <w:sectPr w:rsidR="00012C16" w:rsidRPr="00C579D1" w:rsidSect="003B1C72">
      <w:headerReference w:type="even" r:id="rId14"/>
      <w:headerReference w:type="default" r:id="rId15"/>
      <w:footerReference w:type="even" r:id="rId16"/>
      <w:footerReference w:type="default" r:id="rId17"/>
      <w:footerReference w:type="first" r:id="rId18"/>
      <w:type w:val="continuous"/>
      <w:pgSz w:w="11906" w:h="16838" w:code="9"/>
      <w:pgMar w:top="907" w:right="849"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D5" w:rsidRDefault="00EE3CD5">
      <w:r>
        <w:separator/>
      </w:r>
    </w:p>
  </w:endnote>
  <w:endnote w:type="continuationSeparator" w:id="0">
    <w:p w:rsidR="00EE3CD5" w:rsidRDefault="00EE3CD5">
      <w:r>
        <w:continuationSeparator/>
      </w:r>
    </w:p>
  </w:endnote>
  <w:endnote w:type="continuationNotice" w:id="1">
    <w:p w:rsidR="00EE3CD5" w:rsidRDefault="00EE3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Pr="00772953" w:rsidRDefault="00715491">
    <w:pPr>
      <w:pStyle w:val="Footer"/>
      <w:rPr>
        <w:b/>
      </w:rPr>
    </w:pPr>
    <w:r w:rsidRPr="00772953">
      <w:rPr>
        <w:rStyle w:val="PageNumber"/>
        <w:b w:val="0"/>
      </w:rPr>
      <w:fldChar w:fldCharType="begin"/>
    </w:r>
    <w:r w:rsidRPr="00772953">
      <w:rPr>
        <w:rStyle w:val="PageNumber"/>
        <w:b w:val="0"/>
      </w:rPr>
      <w:instrText xml:space="preserve"> PAGE </w:instrText>
    </w:r>
    <w:r w:rsidRPr="00772953">
      <w:rPr>
        <w:rStyle w:val="PageNumber"/>
        <w:b w:val="0"/>
      </w:rPr>
      <w:fldChar w:fldCharType="separate"/>
    </w:r>
    <w:r w:rsidR="00121D03">
      <w:rPr>
        <w:rStyle w:val="PageNumber"/>
        <w:b w:val="0"/>
        <w:noProof/>
      </w:rPr>
      <w:t>12</w:t>
    </w:r>
    <w:r w:rsidRPr="00772953">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Pr="00772953" w:rsidRDefault="00715491" w:rsidP="00035EDE">
    <w:pPr>
      <w:pStyle w:val="Footer"/>
      <w:jc w:val="right"/>
      <w:rPr>
        <w:b/>
      </w:rPr>
    </w:pPr>
    <w:r w:rsidRPr="00772953">
      <w:rPr>
        <w:rStyle w:val="PageNumber"/>
        <w:b w:val="0"/>
      </w:rPr>
      <w:fldChar w:fldCharType="begin"/>
    </w:r>
    <w:r w:rsidRPr="00772953">
      <w:rPr>
        <w:rStyle w:val="PageNumber"/>
        <w:b w:val="0"/>
      </w:rPr>
      <w:instrText xml:space="preserve"> PAGE </w:instrText>
    </w:r>
    <w:r w:rsidRPr="00772953">
      <w:rPr>
        <w:rStyle w:val="PageNumber"/>
        <w:b w:val="0"/>
      </w:rPr>
      <w:fldChar w:fldCharType="separate"/>
    </w:r>
    <w:r w:rsidR="00121D03">
      <w:rPr>
        <w:rStyle w:val="PageNumber"/>
        <w:b w:val="0"/>
        <w:noProof/>
      </w:rPr>
      <w:t>13</w:t>
    </w:r>
    <w:r w:rsidRPr="00772953">
      <w:rPr>
        <w:rStyle w:val="PageNumbe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Pr="004C6575" w:rsidRDefault="00715491">
    <w:pPr>
      <w:pStyle w:val="Footer"/>
      <w:rPr>
        <w:sz w:val="20"/>
      </w:rPr>
    </w:pPr>
    <w:r>
      <w:rPr>
        <w:sz w:val="20"/>
      </w:rPr>
      <w:t>K1600584</w:t>
    </w:r>
    <w:r>
      <w:rPr>
        <w:sz w:val="20"/>
      </w:rPr>
      <w:tab/>
      <w:t>290316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D5" w:rsidRDefault="00EE3CD5" w:rsidP="001C40EE">
      <w:pPr>
        <w:spacing w:before="60"/>
        <w:ind w:left="624"/>
      </w:pPr>
      <w:r>
        <w:separator/>
      </w:r>
    </w:p>
  </w:footnote>
  <w:footnote w:type="continuationSeparator" w:id="0">
    <w:p w:rsidR="00EE3CD5" w:rsidRDefault="00EE3CD5">
      <w:r>
        <w:continuationSeparator/>
      </w:r>
    </w:p>
  </w:footnote>
  <w:footnote w:type="continuationNotice" w:id="1">
    <w:p w:rsidR="00EE3CD5" w:rsidRDefault="00EE3CD5"/>
  </w:footnote>
  <w:footnote w:id="2">
    <w:p w:rsidR="00715491" w:rsidRPr="00602867" w:rsidRDefault="00715491">
      <w:pPr>
        <w:pStyle w:val="FootnoteText"/>
        <w:rPr>
          <w:szCs w:val="18"/>
        </w:rPr>
      </w:pPr>
      <w:r w:rsidRPr="00602867">
        <w:rPr>
          <w:rStyle w:val="FootnoteReference"/>
          <w:sz w:val="18"/>
        </w:rPr>
        <w:t>*</w:t>
      </w:r>
      <w:r w:rsidRPr="00602867">
        <w:rPr>
          <w:szCs w:val="18"/>
        </w:rPr>
        <w:t xml:space="preserve"> </w:t>
      </w:r>
      <w:r w:rsidRPr="00602867">
        <w:rPr>
          <w:rStyle w:val="FootnoteReference"/>
          <w:sz w:val="18"/>
          <w:vertAlign w:val="baseline"/>
        </w:rPr>
        <w:t>UNEP/EA.2/</w:t>
      </w:r>
      <w:r w:rsidRPr="00602867">
        <w:rPr>
          <w:szCs w:val="18"/>
        </w:rPr>
        <w:t>1.</w:t>
      </w:r>
    </w:p>
  </w:footnote>
  <w:footnote w:id="3">
    <w:p w:rsidR="00715491" w:rsidRPr="00602867" w:rsidRDefault="00715491">
      <w:pPr>
        <w:pStyle w:val="FootnoteText"/>
        <w:rPr>
          <w:szCs w:val="18"/>
        </w:rPr>
      </w:pPr>
      <w:r w:rsidRPr="00602867">
        <w:rPr>
          <w:rStyle w:val="FootnoteReference"/>
          <w:sz w:val="18"/>
        </w:rPr>
        <w:footnoteRef/>
      </w:r>
      <w:r w:rsidRPr="00602867">
        <w:rPr>
          <w:szCs w:val="18"/>
        </w:rPr>
        <w:t xml:space="preserve"> http://</w:t>
      </w:r>
      <w:hyperlink r:id="rId1" w:history="1">
        <w:r w:rsidRPr="00602867">
          <w:rPr>
            <w:rStyle w:val="Hyperlink"/>
            <w:sz w:val="18"/>
            <w:szCs w:val="18"/>
          </w:rPr>
          <w:t>www.geftwap.org</w:t>
        </w:r>
      </w:hyperlink>
      <w:r w:rsidRPr="00602867">
        <w:rPr>
          <w:rStyle w:val="Hyperlink"/>
          <w:sz w:val="18"/>
          <w:szCs w:val="18"/>
        </w:rPr>
        <w:t>.</w:t>
      </w:r>
    </w:p>
  </w:footnote>
  <w:footnote w:id="4">
    <w:p w:rsidR="00715491" w:rsidRPr="00602867" w:rsidRDefault="00715491">
      <w:pPr>
        <w:pStyle w:val="FootnoteText"/>
        <w:rPr>
          <w:szCs w:val="18"/>
        </w:rPr>
      </w:pPr>
      <w:r w:rsidRPr="00602867">
        <w:rPr>
          <w:rStyle w:val="FootnoteReference"/>
          <w:sz w:val="18"/>
        </w:rPr>
        <w:footnoteRef/>
      </w:r>
      <w:r w:rsidRPr="00602867">
        <w:rPr>
          <w:szCs w:val="18"/>
        </w:rPr>
        <w:t xml:space="preserve"> ONU-Eau est le nom abrégé pour le </w:t>
      </w:r>
      <w:r>
        <w:rPr>
          <w:szCs w:val="18"/>
        </w:rPr>
        <w:t>M</w:t>
      </w:r>
      <w:r w:rsidRPr="00602867">
        <w:rPr>
          <w:szCs w:val="18"/>
        </w:rPr>
        <w:t xml:space="preserve">écanisme </w:t>
      </w:r>
      <w:proofErr w:type="spellStart"/>
      <w:r w:rsidRPr="00602867">
        <w:rPr>
          <w:szCs w:val="18"/>
        </w:rPr>
        <w:t>interorganisations</w:t>
      </w:r>
      <w:proofErr w:type="spellEnd"/>
      <w:r w:rsidRPr="00602867">
        <w:rPr>
          <w:szCs w:val="18"/>
        </w:rPr>
        <w:t xml:space="preserve"> des Nations Unies pour toutes les questions liées à l’eau douce, y compris l’assainissement.</w:t>
      </w:r>
    </w:p>
  </w:footnote>
  <w:footnote w:id="5">
    <w:p w:rsidR="00715491" w:rsidRPr="00602867" w:rsidRDefault="00715491">
      <w:pPr>
        <w:pStyle w:val="FootnoteText"/>
        <w:rPr>
          <w:szCs w:val="18"/>
        </w:rPr>
      </w:pPr>
      <w:r w:rsidRPr="00602867">
        <w:rPr>
          <w:rStyle w:val="FootnoteReference"/>
          <w:sz w:val="18"/>
        </w:rPr>
        <w:footnoteRef/>
      </w:r>
      <w:r w:rsidRPr="00602867">
        <w:rPr>
          <w:szCs w:val="18"/>
        </w:rPr>
        <w:t xml:space="preserve"> </w:t>
      </w:r>
      <w:hyperlink r:id="rId2" w:history="1">
        <w:r w:rsidRPr="00602867">
          <w:rPr>
            <w:rStyle w:val="Hyperlink"/>
            <w:sz w:val="18"/>
            <w:szCs w:val="18"/>
          </w:rPr>
          <w:t>http://www.un.org/Depts/los/global_reporting/global_reporting.htm</w:t>
        </w:r>
      </w:hyperlink>
      <w:r w:rsidRPr="00602867">
        <w:rPr>
          <w:rStyle w:val="Hyperlink"/>
          <w:sz w:val="18"/>
          <w:szCs w:val="18"/>
        </w:rPr>
        <w:t>.</w:t>
      </w:r>
    </w:p>
  </w:footnote>
  <w:footnote w:id="6">
    <w:p w:rsidR="00715491" w:rsidRDefault="00715491">
      <w:pPr>
        <w:pStyle w:val="FootnoteText"/>
      </w:pPr>
      <w:r>
        <w:rPr>
          <w:rStyle w:val="FootnoteReference"/>
        </w:rPr>
        <w:footnoteRef/>
      </w:r>
      <w:r>
        <w:t xml:space="preserve"> </w:t>
      </w:r>
      <w:r w:rsidRPr="003830FF">
        <w:rPr>
          <w:color w:val="000000"/>
        </w:rPr>
        <w:t>http://www.teebweb.org/agriculture-and-food/interim-report.</w:t>
      </w:r>
    </w:p>
  </w:footnote>
  <w:footnote w:id="7">
    <w:p w:rsidR="00715491" w:rsidRPr="001D6373" w:rsidRDefault="00715491">
      <w:pPr>
        <w:pStyle w:val="FootnoteText"/>
        <w:rPr>
          <w:lang w:val="en-US"/>
        </w:rPr>
      </w:pPr>
      <w:r>
        <w:rPr>
          <w:rStyle w:val="FootnoteReference"/>
        </w:rPr>
        <w:footnoteRef/>
      </w:r>
      <w:r>
        <w:t xml:space="preserve"> </w:t>
      </w:r>
      <w:hyperlink r:id="rId3" w:history="1">
        <w:r w:rsidRPr="00CB72C7">
          <w:rPr>
            <w:rStyle w:val="Hyperlink"/>
            <w:sz w:val="18"/>
            <w:szCs w:val="18"/>
          </w:rPr>
          <w:t>www.informea.org/</w:t>
        </w:r>
      </w:hyperlink>
      <w:r w:rsidRPr="00602867">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Pr="00361657" w:rsidRDefault="00715491" w:rsidP="00361657">
    <w:pPr>
      <w:pStyle w:val="Header"/>
      <w:rPr>
        <w:szCs w:val="18"/>
      </w:rPr>
    </w:pPr>
    <w:r w:rsidRPr="00361657">
      <w:rPr>
        <w:bCs/>
        <w:szCs w:val="18"/>
        <w:lang w:val="en-GB"/>
      </w:rPr>
      <w:t>UNEP</w:t>
    </w:r>
    <w:r>
      <w:rPr>
        <w:szCs w:val="18"/>
        <w:lang w:val="en-GB"/>
      </w:rPr>
      <w:t>/EA.2/3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1" w:rsidRPr="00361657" w:rsidRDefault="00715491" w:rsidP="00361657">
    <w:pPr>
      <w:pStyle w:val="Header"/>
      <w:jc w:val="right"/>
      <w:rPr>
        <w:szCs w:val="18"/>
      </w:rPr>
    </w:pPr>
    <w:r w:rsidRPr="00361657">
      <w:rPr>
        <w:bCs/>
        <w:szCs w:val="18"/>
        <w:lang w:val="en-GB"/>
      </w:rPr>
      <w:t>UNEP</w:t>
    </w:r>
    <w:r>
      <w:rPr>
        <w:szCs w:val="18"/>
        <w:lang w:val="en-GB"/>
      </w:rPr>
      <w:t>/EA.2/3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0906CDF"/>
    <w:multiLevelType w:val="hybridMultilevel"/>
    <w:tmpl w:val="63D2DC14"/>
    <w:lvl w:ilvl="0" w:tplc="AF84ECF2">
      <w:start w:val="1"/>
      <w:numFmt w:val="lowerLetter"/>
      <w:pStyle w:val="ListBullet"/>
      <w:lvlText w:val="(%1)"/>
      <w:lvlJc w:val="left"/>
      <w:pPr>
        <w:tabs>
          <w:tab w:val="num" w:pos="1679"/>
        </w:tabs>
        <w:ind w:left="1679" w:hanging="432"/>
      </w:pPr>
      <w:rPr>
        <w:rFonts w:ascii="Times New Roman" w:eastAsia="Times New Roman" w:hAnsi="Times New Roman" w:cs="Times New Roman"/>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95E052A0"/>
    <w:styleLink w:val="Normallist"/>
    <w:lvl w:ilvl="0">
      <w:start w:val="1"/>
      <w:numFmt w:val="decimal"/>
      <w:pStyle w:val="Normalnumber"/>
      <w:lvlText w:val="%1."/>
      <w:lvlJc w:val="left"/>
      <w:pPr>
        <w:tabs>
          <w:tab w:val="num" w:pos="967"/>
        </w:tabs>
        <w:ind w:left="1080"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2291BF8"/>
    <w:multiLevelType w:val="multilevel"/>
    <w:tmpl w:val="95E052A0"/>
    <w:numStyleLink w:val="Normallist"/>
  </w:abstractNum>
  <w:num w:numId="1">
    <w:abstractNumId w:val="3"/>
  </w:num>
  <w:num w:numId="2">
    <w:abstractNumId w:val="0"/>
  </w:num>
  <w:num w:numId="3">
    <w:abstractNumId w:val="2"/>
  </w:num>
  <w:num w:numId="4">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5">
    <w:abstractNumId w:val="4"/>
    <w:lvlOverride w:ilvl="0">
      <w:lvl w:ilvl="0">
        <w:start w:val="1"/>
        <w:numFmt w:val="decimal"/>
        <w:lvlText w:val="%1."/>
        <w:lvlJc w:val="left"/>
        <w:pPr>
          <w:ind w:left="1607" w:hanging="360"/>
        </w:pPr>
        <w:rPr>
          <w:rFonts w:hint="default"/>
        </w:rPr>
      </w:lvl>
    </w:lvlOverride>
    <w:lvlOverride w:ilvl="1">
      <w:lvl w:ilvl="1">
        <w:start w:val="1"/>
        <w:numFmt w:val="lowerLetter"/>
        <w:lvlText w:val="%2)"/>
        <w:lvlJc w:val="left"/>
        <w:pPr>
          <w:tabs>
            <w:tab w:val="num" w:pos="171"/>
          </w:tabs>
          <w:ind w:left="284" w:firstLine="567"/>
        </w:pPr>
        <w:rPr>
          <w:rFonts w:ascii="Times New Roman" w:eastAsia="Times New Roman" w:hAnsi="Times New Roman" w:cs="Times New Roman"/>
          <w:i w:val="0"/>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1"/>
  </w:num>
  <w:num w:numId="7">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8">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9">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0">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1">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2">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3">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4">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5">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6">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7">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8">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19">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0">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1">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2">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3">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4">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5">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6">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7">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8">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29">
    <w:abstractNumId w:val="3"/>
    <w:lvlOverride w:ilvl="0">
      <w:lvl w:ilvl="0">
        <w:start w:val="1"/>
        <w:numFmt w:val="decimal"/>
        <w:pStyle w:val="Normalnumber"/>
        <w:lvlText w:val="%1."/>
        <w:lvlJc w:val="left"/>
        <w:pPr>
          <w:tabs>
            <w:tab w:val="num" w:pos="967"/>
          </w:tabs>
          <w:ind w:left="1080" w:firstLine="0"/>
        </w:pPr>
        <w:rPr>
          <w:rFonts w:hint="default"/>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16"/>
    <w:rsid w:val="0000026D"/>
    <w:rsid w:val="00000832"/>
    <w:rsid w:val="000049A9"/>
    <w:rsid w:val="00007D1D"/>
    <w:rsid w:val="0001084B"/>
    <w:rsid w:val="00012C16"/>
    <w:rsid w:val="000149E6"/>
    <w:rsid w:val="000247B0"/>
    <w:rsid w:val="00026997"/>
    <w:rsid w:val="00031B9D"/>
    <w:rsid w:val="0003292D"/>
    <w:rsid w:val="00033E0B"/>
    <w:rsid w:val="00035EDE"/>
    <w:rsid w:val="00044AF3"/>
    <w:rsid w:val="00050859"/>
    <w:rsid w:val="000509B4"/>
    <w:rsid w:val="00054340"/>
    <w:rsid w:val="0006035B"/>
    <w:rsid w:val="00061A95"/>
    <w:rsid w:val="00061A9D"/>
    <w:rsid w:val="00062340"/>
    <w:rsid w:val="00064B3E"/>
    <w:rsid w:val="000716FF"/>
    <w:rsid w:val="00071886"/>
    <w:rsid w:val="000742BC"/>
    <w:rsid w:val="0008208E"/>
    <w:rsid w:val="00082330"/>
    <w:rsid w:val="00082A0C"/>
    <w:rsid w:val="00083504"/>
    <w:rsid w:val="00086399"/>
    <w:rsid w:val="0009640C"/>
    <w:rsid w:val="000A3A78"/>
    <w:rsid w:val="000A5C89"/>
    <w:rsid w:val="000B1973"/>
    <w:rsid w:val="000B22A2"/>
    <w:rsid w:val="000B2506"/>
    <w:rsid w:val="000B2585"/>
    <w:rsid w:val="000B309D"/>
    <w:rsid w:val="000C2A52"/>
    <w:rsid w:val="000D28BC"/>
    <w:rsid w:val="000D33C0"/>
    <w:rsid w:val="000D469C"/>
    <w:rsid w:val="000D5EBA"/>
    <w:rsid w:val="000D6941"/>
    <w:rsid w:val="000E2CE6"/>
    <w:rsid w:val="000E3AF5"/>
    <w:rsid w:val="000E465D"/>
    <w:rsid w:val="000E6402"/>
    <w:rsid w:val="000E7023"/>
    <w:rsid w:val="000F2478"/>
    <w:rsid w:val="000F5A52"/>
    <w:rsid w:val="00105080"/>
    <w:rsid w:val="001140BD"/>
    <w:rsid w:val="00117950"/>
    <w:rsid w:val="001202E3"/>
    <w:rsid w:val="00120F42"/>
    <w:rsid w:val="00121B65"/>
    <w:rsid w:val="00121D03"/>
    <w:rsid w:val="00123699"/>
    <w:rsid w:val="0013059D"/>
    <w:rsid w:val="00132118"/>
    <w:rsid w:val="001325BB"/>
    <w:rsid w:val="00134A08"/>
    <w:rsid w:val="00141A55"/>
    <w:rsid w:val="001425CA"/>
    <w:rsid w:val="001446A3"/>
    <w:rsid w:val="001455DA"/>
    <w:rsid w:val="00150F71"/>
    <w:rsid w:val="00151F8B"/>
    <w:rsid w:val="00153E03"/>
    <w:rsid w:val="00155395"/>
    <w:rsid w:val="0015701B"/>
    <w:rsid w:val="001571DF"/>
    <w:rsid w:val="00160D74"/>
    <w:rsid w:val="00167D02"/>
    <w:rsid w:val="00171AE1"/>
    <w:rsid w:val="00171D67"/>
    <w:rsid w:val="00181CE4"/>
    <w:rsid w:val="00181EC8"/>
    <w:rsid w:val="001831F8"/>
    <w:rsid w:val="00183BFF"/>
    <w:rsid w:val="00184349"/>
    <w:rsid w:val="0018632E"/>
    <w:rsid w:val="00187D21"/>
    <w:rsid w:val="00195F33"/>
    <w:rsid w:val="001A41D0"/>
    <w:rsid w:val="001B1617"/>
    <w:rsid w:val="001B3BAD"/>
    <w:rsid w:val="001B41A0"/>
    <w:rsid w:val="001B504B"/>
    <w:rsid w:val="001C40EE"/>
    <w:rsid w:val="001C4E47"/>
    <w:rsid w:val="001C657B"/>
    <w:rsid w:val="001D0473"/>
    <w:rsid w:val="001D195A"/>
    <w:rsid w:val="001D235B"/>
    <w:rsid w:val="001D3874"/>
    <w:rsid w:val="001D6373"/>
    <w:rsid w:val="001D7E75"/>
    <w:rsid w:val="001E5008"/>
    <w:rsid w:val="001E56D2"/>
    <w:rsid w:val="001E5AA7"/>
    <w:rsid w:val="001E6594"/>
    <w:rsid w:val="001E7D56"/>
    <w:rsid w:val="001F574C"/>
    <w:rsid w:val="001F75DE"/>
    <w:rsid w:val="001F7AD7"/>
    <w:rsid w:val="00200D58"/>
    <w:rsid w:val="002013BE"/>
    <w:rsid w:val="00204C6C"/>
    <w:rsid w:val="00205488"/>
    <w:rsid w:val="002063A4"/>
    <w:rsid w:val="0021145B"/>
    <w:rsid w:val="002127B1"/>
    <w:rsid w:val="0021762F"/>
    <w:rsid w:val="00220B86"/>
    <w:rsid w:val="00221E44"/>
    <w:rsid w:val="00222369"/>
    <w:rsid w:val="0022264B"/>
    <w:rsid w:val="00223601"/>
    <w:rsid w:val="00223DEE"/>
    <w:rsid w:val="0022581F"/>
    <w:rsid w:val="00225F3C"/>
    <w:rsid w:val="00227178"/>
    <w:rsid w:val="002316DB"/>
    <w:rsid w:val="0023467F"/>
    <w:rsid w:val="002377C4"/>
    <w:rsid w:val="00243D36"/>
    <w:rsid w:val="00244DC4"/>
    <w:rsid w:val="00247707"/>
    <w:rsid w:val="002547B6"/>
    <w:rsid w:val="00256E90"/>
    <w:rsid w:val="00257130"/>
    <w:rsid w:val="0026018E"/>
    <w:rsid w:val="002611A3"/>
    <w:rsid w:val="0027215A"/>
    <w:rsid w:val="00272164"/>
    <w:rsid w:val="00273DF2"/>
    <w:rsid w:val="00275636"/>
    <w:rsid w:val="00277F9A"/>
    <w:rsid w:val="00280DC8"/>
    <w:rsid w:val="00281F34"/>
    <w:rsid w:val="0028372F"/>
    <w:rsid w:val="00285102"/>
    <w:rsid w:val="00286740"/>
    <w:rsid w:val="00286C48"/>
    <w:rsid w:val="00291BDF"/>
    <w:rsid w:val="002929D8"/>
    <w:rsid w:val="00295AE2"/>
    <w:rsid w:val="002A237D"/>
    <w:rsid w:val="002A4C53"/>
    <w:rsid w:val="002A4DAC"/>
    <w:rsid w:val="002A7EDE"/>
    <w:rsid w:val="002B0672"/>
    <w:rsid w:val="002B247F"/>
    <w:rsid w:val="002B34FA"/>
    <w:rsid w:val="002C0396"/>
    <w:rsid w:val="002C145D"/>
    <w:rsid w:val="002C159D"/>
    <w:rsid w:val="002C2C3E"/>
    <w:rsid w:val="002C3679"/>
    <w:rsid w:val="002C533E"/>
    <w:rsid w:val="002D027F"/>
    <w:rsid w:val="002D7A85"/>
    <w:rsid w:val="002D7B60"/>
    <w:rsid w:val="002E3D72"/>
    <w:rsid w:val="002E62B6"/>
    <w:rsid w:val="002F047E"/>
    <w:rsid w:val="002F4761"/>
    <w:rsid w:val="002F5653"/>
    <w:rsid w:val="002F5C79"/>
    <w:rsid w:val="00300DEA"/>
    <w:rsid w:val="00301418"/>
    <w:rsid w:val="003019E2"/>
    <w:rsid w:val="0031413F"/>
    <w:rsid w:val="003148BB"/>
    <w:rsid w:val="00317976"/>
    <w:rsid w:val="003211DD"/>
    <w:rsid w:val="00323B6D"/>
    <w:rsid w:val="003243FA"/>
    <w:rsid w:val="00324F49"/>
    <w:rsid w:val="003251D6"/>
    <w:rsid w:val="00336585"/>
    <w:rsid w:val="00342118"/>
    <w:rsid w:val="003475BD"/>
    <w:rsid w:val="00350029"/>
    <w:rsid w:val="003501ED"/>
    <w:rsid w:val="00355EA9"/>
    <w:rsid w:val="00356BC6"/>
    <w:rsid w:val="003578DE"/>
    <w:rsid w:val="00360AD4"/>
    <w:rsid w:val="00361657"/>
    <w:rsid w:val="00367D56"/>
    <w:rsid w:val="00367E64"/>
    <w:rsid w:val="003706FA"/>
    <w:rsid w:val="00374E99"/>
    <w:rsid w:val="003830FF"/>
    <w:rsid w:val="003860CD"/>
    <w:rsid w:val="00396257"/>
    <w:rsid w:val="00397EB8"/>
    <w:rsid w:val="003A4FD0"/>
    <w:rsid w:val="003A69D1"/>
    <w:rsid w:val="003A7705"/>
    <w:rsid w:val="003A77F1"/>
    <w:rsid w:val="003B1545"/>
    <w:rsid w:val="003B1C72"/>
    <w:rsid w:val="003B2165"/>
    <w:rsid w:val="003B2E93"/>
    <w:rsid w:val="003B549D"/>
    <w:rsid w:val="003B7938"/>
    <w:rsid w:val="003C409D"/>
    <w:rsid w:val="003C5BA6"/>
    <w:rsid w:val="003D2D15"/>
    <w:rsid w:val="003D3D30"/>
    <w:rsid w:val="003E2E34"/>
    <w:rsid w:val="003F0E85"/>
    <w:rsid w:val="00410C55"/>
    <w:rsid w:val="00410D34"/>
    <w:rsid w:val="00416854"/>
    <w:rsid w:val="00417725"/>
    <w:rsid w:val="00417D94"/>
    <w:rsid w:val="00423332"/>
    <w:rsid w:val="00426BD0"/>
    <w:rsid w:val="00437F26"/>
    <w:rsid w:val="00442DE7"/>
    <w:rsid w:val="00444097"/>
    <w:rsid w:val="00445487"/>
    <w:rsid w:val="004466A3"/>
    <w:rsid w:val="00454769"/>
    <w:rsid w:val="00455401"/>
    <w:rsid w:val="00455A68"/>
    <w:rsid w:val="00457EAF"/>
    <w:rsid w:val="00466991"/>
    <w:rsid w:val="0047064C"/>
    <w:rsid w:val="00471FCB"/>
    <w:rsid w:val="00473F34"/>
    <w:rsid w:val="0047511C"/>
    <w:rsid w:val="00475838"/>
    <w:rsid w:val="00477A1D"/>
    <w:rsid w:val="00480C2E"/>
    <w:rsid w:val="004822AC"/>
    <w:rsid w:val="0048454F"/>
    <w:rsid w:val="00485413"/>
    <w:rsid w:val="0048717D"/>
    <w:rsid w:val="004871D3"/>
    <w:rsid w:val="004A0EFD"/>
    <w:rsid w:val="004A42E1"/>
    <w:rsid w:val="004B0C6D"/>
    <w:rsid w:val="004B162C"/>
    <w:rsid w:val="004B7BD6"/>
    <w:rsid w:val="004C1097"/>
    <w:rsid w:val="004C38D4"/>
    <w:rsid w:val="004C3BCC"/>
    <w:rsid w:val="004C3DBE"/>
    <w:rsid w:val="004C44F7"/>
    <w:rsid w:val="004C5C96"/>
    <w:rsid w:val="004C650C"/>
    <w:rsid w:val="004C654A"/>
    <w:rsid w:val="004C6575"/>
    <w:rsid w:val="004C662C"/>
    <w:rsid w:val="004C7578"/>
    <w:rsid w:val="004D06A4"/>
    <w:rsid w:val="004D0E8F"/>
    <w:rsid w:val="004E1640"/>
    <w:rsid w:val="004E4EF0"/>
    <w:rsid w:val="004F11CE"/>
    <w:rsid w:val="004F1A81"/>
    <w:rsid w:val="004F57CA"/>
    <w:rsid w:val="00511D28"/>
    <w:rsid w:val="00521003"/>
    <w:rsid w:val="005218D9"/>
    <w:rsid w:val="00527F9A"/>
    <w:rsid w:val="005317AA"/>
    <w:rsid w:val="00533EB4"/>
    <w:rsid w:val="005350C4"/>
    <w:rsid w:val="00536186"/>
    <w:rsid w:val="00536B77"/>
    <w:rsid w:val="00537223"/>
    <w:rsid w:val="00541B0D"/>
    <w:rsid w:val="005427D8"/>
    <w:rsid w:val="00543465"/>
    <w:rsid w:val="00544CBB"/>
    <w:rsid w:val="00546153"/>
    <w:rsid w:val="00546AA9"/>
    <w:rsid w:val="005550E1"/>
    <w:rsid w:val="005553CF"/>
    <w:rsid w:val="00570E1B"/>
    <w:rsid w:val="0057147F"/>
    <w:rsid w:val="0057315F"/>
    <w:rsid w:val="00576104"/>
    <w:rsid w:val="005817B8"/>
    <w:rsid w:val="00582BC0"/>
    <w:rsid w:val="00586ABD"/>
    <w:rsid w:val="0059018B"/>
    <w:rsid w:val="00596235"/>
    <w:rsid w:val="005972B0"/>
    <w:rsid w:val="005A4C8C"/>
    <w:rsid w:val="005B380F"/>
    <w:rsid w:val="005B6879"/>
    <w:rsid w:val="005C3F2B"/>
    <w:rsid w:val="005C67C8"/>
    <w:rsid w:val="005D0249"/>
    <w:rsid w:val="005D2743"/>
    <w:rsid w:val="005D6E8C"/>
    <w:rsid w:val="005E7C46"/>
    <w:rsid w:val="005E7C73"/>
    <w:rsid w:val="005F100C"/>
    <w:rsid w:val="005F43C2"/>
    <w:rsid w:val="005F5DF7"/>
    <w:rsid w:val="005F68DA"/>
    <w:rsid w:val="005F6FDE"/>
    <w:rsid w:val="00602867"/>
    <w:rsid w:val="006039D6"/>
    <w:rsid w:val="00604F11"/>
    <w:rsid w:val="0060773B"/>
    <w:rsid w:val="00610C3B"/>
    <w:rsid w:val="006135DB"/>
    <w:rsid w:val="00614EC1"/>
    <w:rsid w:val="00615723"/>
    <w:rsid w:val="006157B5"/>
    <w:rsid w:val="00621C61"/>
    <w:rsid w:val="0062487E"/>
    <w:rsid w:val="00626FC6"/>
    <w:rsid w:val="006303B4"/>
    <w:rsid w:val="006335A3"/>
    <w:rsid w:val="00633D3D"/>
    <w:rsid w:val="00633D58"/>
    <w:rsid w:val="00633F3E"/>
    <w:rsid w:val="00641703"/>
    <w:rsid w:val="0064248D"/>
    <w:rsid w:val="00642D5E"/>
    <w:rsid w:val="006431A6"/>
    <w:rsid w:val="00644117"/>
    <w:rsid w:val="006459F6"/>
    <w:rsid w:val="00646BCE"/>
    <w:rsid w:val="00650007"/>
    <w:rsid w:val="006501AD"/>
    <w:rsid w:val="00650718"/>
    <w:rsid w:val="00651BFA"/>
    <w:rsid w:val="00651C5E"/>
    <w:rsid w:val="00654475"/>
    <w:rsid w:val="00654AAE"/>
    <w:rsid w:val="00661D66"/>
    <w:rsid w:val="00665A4B"/>
    <w:rsid w:val="00670A3F"/>
    <w:rsid w:val="00675022"/>
    <w:rsid w:val="00677FD3"/>
    <w:rsid w:val="006802BD"/>
    <w:rsid w:val="00683B9A"/>
    <w:rsid w:val="00692E2A"/>
    <w:rsid w:val="006A33EE"/>
    <w:rsid w:val="006A76F2"/>
    <w:rsid w:val="006B7846"/>
    <w:rsid w:val="006C0C09"/>
    <w:rsid w:val="006C4C5E"/>
    <w:rsid w:val="006C5799"/>
    <w:rsid w:val="006C6D13"/>
    <w:rsid w:val="006D691C"/>
    <w:rsid w:val="006D7EFB"/>
    <w:rsid w:val="006E0817"/>
    <w:rsid w:val="006E0F2F"/>
    <w:rsid w:val="006E2115"/>
    <w:rsid w:val="006E527C"/>
    <w:rsid w:val="006E6672"/>
    <w:rsid w:val="006E6722"/>
    <w:rsid w:val="006F0DD1"/>
    <w:rsid w:val="006F13F4"/>
    <w:rsid w:val="006F5201"/>
    <w:rsid w:val="007027B9"/>
    <w:rsid w:val="0070515A"/>
    <w:rsid w:val="0070763F"/>
    <w:rsid w:val="00711F1B"/>
    <w:rsid w:val="00715491"/>
    <w:rsid w:val="00715E88"/>
    <w:rsid w:val="00716930"/>
    <w:rsid w:val="007171F6"/>
    <w:rsid w:val="00717F11"/>
    <w:rsid w:val="00727CAA"/>
    <w:rsid w:val="00734CAA"/>
    <w:rsid w:val="00736E9F"/>
    <w:rsid w:val="0075533C"/>
    <w:rsid w:val="00755D4D"/>
    <w:rsid w:val="00757581"/>
    <w:rsid w:val="00760A59"/>
    <w:rsid w:val="007611A0"/>
    <w:rsid w:val="00763469"/>
    <w:rsid w:val="00765E0F"/>
    <w:rsid w:val="00772953"/>
    <w:rsid w:val="00774CE4"/>
    <w:rsid w:val="00774DBA"/>
    <w:rsid w:val="00776365"/>
    <w:rsid w:val="0077671C"/>
    <w:rsid w:val="00784403"/>
    <w:rsid w:val="00786D06"/>
    <w:rsid w:val="00794404"/>
    <w:rsid w:val="0079460C"/>
    <w:rsid w:val="00796D3F"/>
    <w:rsid w:val="007A00BB"/>
    <w:rsid w:val="007A0CAC"/>
    <w:rsid w:val="007A1683"/>
    <w:rsid w:val="007A381A"/>
    <w:rsid w:val="007A5C12"/>
    <w:rsid w:val="007A6C9D"/>
    <w:rsid w:val="007A7CB0"/>
    <w:rsid w:val="007B312E"/>
    <w:rsid w:val="007B68A3"/>
    <w:rsid w:val="007C0C58"/>
    <w:rsid w:val="007C2541"/>
    <w:rsid w:val="007D3813"/>
    <w:rsid w:val="007D66A8"/>
    <w:rsid w:val="007E003F"/>
    <w:rsid w:val="007E6251"/>
    <w:rsid w:val="007F0F37"/>
    <w:rsid w:val="007F7B2B"/>
    <w:rsid w:val="00800A88"/>
    <w:rsid w:val="00801359"/>
    <w:rsid w:val="00805E26"/>
    <w:rsid w:val="00807000"/>
    <w:rsid w:val="00807023"/>
    <w:rsid w:val="00807EF6"/>
    <w:rsid w:val="0081213E"/>
    <w:rsid w:val="008164F2"/>
    <w:rsid w:val="00821395"/>
    <w:rsid w:val="008254BA"/>
    <w:rsid w:val="0082742A"/>
    <w:rsid w:val="00830E26"/>
    <w:rsid w:val="0083122F"/>
    <w:rsid w:val="00832DB6"/>
    <w:rsid w:val="00836649"/>
    <w:rsid w:val="00840629"/>
    <w:rsid w:val="0084080C"/>
    <w:rsid w:val="00840953"/>
    <w:rsid w:val="00843576"/>
    <w:rsid w:val="00843B64"/>
    <w:rsid w:val="008478FC"/>
    <w:rsid w:val="008608EC"/>
    <w:rsid w:val="00867BFF"/>
    <w:rsid w:val="008705DE"/>
    <w:rsid w:val="00871443"/>
    <w:rsid w:val="00882440"/>
    <w:rsid w:val="00883D83"/>
    <w:rsid w:val="0088480A"/>
    <w:rsid w:val="00885E46"/>
    <w:rsid w:val="0088757A"/>
    <w:rsid w:val="008957DD"/>
    <w:rsid w:val="00895AD0"/>
    <w:rsid w:val="00897D98"/>
    <w:rsid w:val="008A14DC"/>
    <w:rsid w:val="008A6DF2"/>
    <w:rsid w:val="008A7807"/>
    <w:rsid w:val="008B4CC9"/>
    <w:rsid w:val="008C075F"/>
    <w:rsid w:val="008C194C"/>
    <w:rsid w:val="008C4607"/>
    <w:rsid w:val="008D035A"/>
    <w:rsid w:val="008D59BC"/>
    <w:rsid w:val="008D7C99"/>
    <w:rsid w:val="008E0FCB"/>
    <w:rsid w:val="008F086F"/>
    <w:rsid w:val="008F090A"/>
    <w:rsid w:val="008F2CC9"/>
    <w:rsid w:val="0090538A"/>
    <w:rsid w:val="00905F02"/>
    <w:rsid w:val="009070E3"/>
    <w:rsid w:val="009139F3"/>
    <w:rsid w:val="0091446F"/>
    <w:rsid w:val="00914596"/>
    <w:rsid w:val="00916B20"/>
    <w:rsid w:val="009203B9"/>
    <w:rsid w:val="0092178C"/>
    <w:rsid w:val="00930051"/>
    <w:rsid w:val="00930B88"/>
    <w:rsid w:val="00933D67"/>
    <w:rsid w:val="00940DCC"/>
    <w:rsid w:val="0094179A"/>
    <w:rsid w:val="0094459E"/>
    <w:rsid w:val="00944BA9"/>
    <w:rsid w:val="00944DBC"/>
    <w:rsid w:val="00950977"/>
    <w:rsid w:val="009514C9"/>
    <w:rsid w:val="00951795"/>
    <w:rsid w:val="00951A7B"/>
    <w:rsid w:val="009521B9"/>
    <w:rsid w:val="009564A6"/>
    <w:rsid w:val="00963E40"/>
    <w:rsid w:val="00964402"/>
    <w:rsid w:val="00966836"/>
    <w:rsid w:val="00967621"/>
    <w:rsid w:val="009677FE"/>
    <w:rsid w:val="00967E6A"/>
    <w:rsid w:val="0097573A"/>
    <w:rsid w:val="009855E1"/>
    <w:rsid w:val="009864AB"/>
    <w:rsid w:val="00986BB6"/>
    <w:rsid w:val="0099235E"/>
    <w:rsid w:val="009A14C6"/>
    <w:rsid w:val="009A57F0"/>
    <w:rsid w:val="009A662D"/>
    <w:rsid w:val="009B0307"/>
    <w:rsid w:val="009B4A0F"/>
    <w:rsid w:val="009C111C"/>
    <w:rsid w:val="009C11D2"/>
    <w:rsid w:val="009C6C70"/>
    <w:rsid w:val="009D0B63"/>
    <w:rsid w:val="009D1BAE"/>
    <w:rsid w:val="009D513A"/>
    <w:rsid w:val="009D7B01"/>
    <w:rsid w:val="009E2230"/>
    <w:rsid w:val="009E307E"/>
    <w:rsid w:val="009F2D70"/>
    <w:rsid w:val="009F6454"/>
    <w:rsid w:val="00A04159"/>
    <w:rsid w:val="00A07870"/>
    <w:rsid w:val="00A07F19"/>
    <w:rsid w:val="00A10E94"/>
    <w:rsid w:val="00A12BA0"/>
    <w:rsid w:val="00A1348D"/>
    <w:rsid w:val="00A14D5D"/>
    <w:rsid w:val="00A17131"/>
    <w:rsid w:val="00A232EE"/>
    <w:rsid w:val="00A252A6"/>
    <w:rsid w:val="00A4175F"/>
    <w:rsid w:val="00A44411"/>
    <w:rsid w:val="00A44C42"/>
    <w:rsid w:val="00A469FA"/>
    <w:rsid w:val="00A46D14"/>
    <w:rsid w:val="00A5105E"/>
    <w:rsid w:val="00A53F51"/>
    <w:rsid w:val="00A55B01"/>
    <w:rsid w:val="00A5696D"/>
    <w:rsid w:val="00A56B5B"/>
    <w:rsid w:val="00A603FF"/>
    <w:rsid w:val="00A61451"/>
    <w:rsid w:val="00A6170A"/>
    <w:rsid w:val="00A64D9B"/>
    <w:rsid w:val="00A657DD"/>
    <w:rsid w:val="00A666A6"/>
    <w:rsid w:val="00A66B0D"/>
    <w:rsid w:val="00A672C1"/>
    <w:rsid w:val="00A675FD"/>
    <w:rsid w:val="00A71D05"/>
    <w:rsid w:val="00A72437"/>
    <w:rsid w:val="00A7407E"/>
    <w:rsid w:val="00A762EF"/>
    <w:rsid w:val="00A80611"/>
    <w:rsid w:val="00A83888"/>
    <w:rsid w:val="00A90D71"/>
    <w:rsid w:val="00A9336E"/>
    <w:rsid w:val="00A97A85"/>
    <w:rsid w:val="00AA0AF1"/>
    <w:rsid w:val="00AB205E"/>
    <w:rsid w:val="00AB5340"/>
    <w:rsid w:val="00AC072A"/>
    <w:rsid w:val="00AC0A89"/>
    <w:rsid w:val="00AC3A10"/>
    <w:rsid w:val="00AC7B95"/>
    <w:rsid w:val="00AC7C96"/>
    <w:rsid w:val="00AD1500"/>
    <w:rsid w:val="00AE13B4"/>
    <w:rsid w:val="00AE237D"/>
    <w:rsid w:val="00AE3582"/>
    <w:rsid w:val="00AE502A"/>
    <w:rsid w:val="00AF0BEA"/>
    <w:rsid w:val="00AF7C07"/>
    <w:rsid w:val="00B019CD"/>
    <w:rsid w:val="00B04FC1"/>
    <w:rsid w:val="00B0530A"/>
    <w:rsid w:val="00B06C52"/>
    <w:rsid w:val="00B07A01"/>
    <w:rsid w:val="00B132B1"/>
    <w:rsid w:val="00B13788"/>
    <w:rsid w:val="00B15506"/>
    <w:rsid w:val="00B16611"/>
    <w:rsid w:val="00B16724"/>
    <w:rsid w:val="00B17D72"/>
    <w:rsid w:val="00B22C93"/>
    <w:rsid w:val="00B27589"/>
    <w:rsid w:val="00B302E1"/>
    <w:rsid w:val="00B405B7"/>
    <w:rsid w:val="00B4340D"/>
    <w:rsid w:val="00B45648"/>
    <w:rsid w:val="00B46683"/>
    <w:rsid w:val="00B479B6"/>
    <w:rsid w:val="00B52222"/>
    <w:rsid w:val="00B5279A"/>
    <w:rsid w:val="00B54FE7"/>
    <w:rsid w:val="00B622F1"/>
    <w:rsid w:val="00B66901"/>
    <w:rsid w:val="00B70BF9"/>
    <w:rsid w:val="00B71E6D"/>
    <w:rsid w:val="00B72070"/>
    <w:rsid w:val="00B7680D"/>
    <w:rsid w:val="00B779E1"/>
    <w:rsid w:val="00B83128"/>
    <w:rsid w:val="00B91EE1"/>
    <w:rsid w:val="00B94060"/>
    <w:rsid w:val="00B94370"/>
    <w:rsid w:val="00BA0090"/>
    <w:rsid w:val="00BA1A67"/>
    <w:rsid w:val="00BA2FCF"/>
    <w:rsid w:val="00BA522A"/>
    <w:rsid w:val="00BA53C8"/>
    <w:rsid w:val="00BA7C69"/>
    <w:rsid w:val="00BB2CFD"/>
    <w:rsid w:val="00BB3899"/>
    <w:rsid w:val="00BC24CE"/>
    <w:rsid w:val="00BC56C0"/>
    <w:rsid w:val="00BD1D03"/>
    <w:rsid w:val="00BD2AC1"/>
    <w:rsid w:val="00BD5333"/>
    <w:rsid w:val="00BD73B9"/>
    <w:rsid w:val="00BE380A"/>
    <w:rsid w:val="00BE5B5F"/>
    <w:rsid w:val="00BF2B8F"/>
    <w:rsid w:val="00BF3D62"/>
    <w:rsid w:val="00BF5533"/>
    <w:rsid w:val="00C00C57"/>
    <w:rsid w:val="00C02C77"/>
    <w:rsid w:val="00C11E00"/>
    <w:rsid w:val="00C15BFC"/>
    <w:rsid w:val="00C22CE6"/>
    <w:rsid w:val="00C237FA"/>
    <w:rsid w:val="00C26F55"/>
    <w:rsid w:val="00C30C63"/>
    <w:rsid w:val="00C3352C"/>
    <w:rsid w:val="00C33A40"/>
    <w:rsid w:val="00C3410A"/>
    <w:rsid w:val="00C36B8B"/>
    <w:rsid w:val="00C415C1"/>
    <w:rsid w:val="00C46DD0"/>
    <w:rsid w:val="00C475B9"/>
    <w:rsid w:val="00C47DBF"/>
    <w:rsid w:val="00C552FF"/>
    <w:rsid w:val="00C558DA"/>
    <w:rsid w:val="00C55AF3"/>
    <w:rsid w:val="00C560E2"/>
    <w:rsid w:val="00C579D1"/>
    <w:rsid w:val="00C57ADE"/>
    <w:rsid w:val="00C634AA"/>
    <w:rsid w:val="00C718F5"/>
    <w:rsid w:val="00C741F6"/>
    <w:rsid w:val="00C74595"/>
    <w:rsid w:val="00C84759"/>
    <w:rsid w:val="00C86742"/>
    <w:rsid w:val="00C902B6"/>
    <w:rsid w:val="00C915D7"/>
    <w:rsid w:val="00C93983"/>
    <w:rsid w:val="00C93ABB"/>
    <w:rsid w:val="00CA0E1D"/>
    <w:rsid w:val="00CA4033"/>
    <w:rsid w:val="00CA444E"/>
    <w:rsid w:val="00CA5CA2"/>
    <w:rsid w:val="00CA6C7F"/>
    <w:rsid w:val="00CB504A"/>
    <w:rsid w:val="00CB6151"/>
    <w:rsid w:val="00CB732D"/>
    <w:rsid w:val="00CB7D03"/>
    <w:rsid w:val="00CC10A6"/>
    <w:rsid w:val="00CC11BF"/>
    <w:rsid w:val="00CC4359"/>
    <w:rsid w:val="00CC4DA2"/>
    <w:rsid w:val="00CC7193"/>
    <w:rsid w:val="00CD5EB8"/>
    <w:rsid w:val="00CD7044"/>
    <w:rsid w:val="00CD724F"/>
    <w:rsid w:val="00CD79DB"/>
    <w:rsid w:val="00CD7A04"/>
    <w:rsid w:val="00CE08B9"/>
    <w:rsid w:val="00CE09CE"/>
    <w:rsid w:val="00CE2D0D"/>
    <w:rsid w:val="00CE524C"/>
    <w:rsid w:val="00CF141F"/>
    <w:rsid w:val="00CF3C47"/>
    <w:rsid w:val="00CF4777"/>
    <w:rsid w:val="00CF500C"/>
    <w:rsid w:val="00CF5DCF"/>
    <w:rsid w:val="00D0036E"/>
    <w:rsid w:val="00D01129"/>
    <w:rsid w:val="00D05576"/>
    <w:rsid w:val="00D067BB"/>
    <w:rsid w:val="00D06B18"/>
    <w:rsid w:val="00D0748E"/>
    <w:rsid w:val="00D1352A"/>
    <w:rsid w:val="00D169AF"/>
    <w:rsid w:val="00D24D65"/>
    <w:rsid w:val="00D25249"/>
    <w:rsid w:val="00D30FE1"/>
    <w:rsid w:val="00D348C9"/>
    <w:rsid w:val="00D35B27"/>
    <w:rsid w:val="00D44172"/>
    <w:rsid w:val="00D45D05"/>
    <w:rsid w:val="00D460A0"/>
    <w:rsid w:val="00D46D36"/>
    <w:rsid w:val="00D50C89"/>
    <w:rsid w:val="00D51E61"/>
    <w:rsid w:val="00D61A5C"/>
    <w:rsid w:val="00D63B8C"/>
    <w:rsid w:val="00D739CC"/>
    <w:rsid w:val="00D76FBB"/>
    <w:rsid w:val="00D8093D"/>
    <w:rsid w:val="00D8108C"/>
    <w:rsid w:val="00D81123"/>
    <w:rsid w:val="00D842AE"/>
    <w:rsid w:val="00D844BD"/>
    <w:rsid w:val="00D9211C"/>
    <w:rsid w:val="00D92DE0"/>
    <w:rsid w:val="00D92FEF"/>
    <w:rsid w:val="00D93A0F"/>
    <w:rsid w:val="00DA1A98"/>
    <w:rsid w:val="00DA1BCA"/>
    <w:rsid w:val="00DA3C39"/>
    <w:rsid w:val="00DB55C4"/>
    <w:rsid w:val="00DB7FE1"/>
    <w:rsid w:val="00DC0BF3"/>
    <w:rsid w:val="00DC369E"/>
    <w:rsid w:val="00DC46FF"/>
    <w:rsid w:val="00DC5254"/>
    <w:rsid w:val="00DC701A"/>
    <w:rsid w:val="00DD0628"/>
    <w:rsid w:val="00DD069D"/>
    <w:rsid w:val="00DD1A4F"/>
    <w:rsid w:val="00DD3107"/>
    <w:rsid w:val="00DD55FD"/>
    <w:rsid w:val="00DD61E5"/>
    <w:rsid w:val="00DD7C2C"/>
    <w:rsid w:val="00DE0E95"/>
    <w:rsid w:val="00DE551A"/>
    <w:rsid w:val="00DF273D"/>
    <w:rsid w:val="00DF345C"/>
    <w:rsid w:val="00E00B64"/>
    <w:rsid w:val="00E01B44"/>
    <w:rsid w:val="00E04068"/>
    <w:rsid w:val="00E05DF0"/>
    <w:rsid w:val="00E06797"/>
    <w:rsid w:val="00E121BE"/>
    <w:rsid w:val="00E1265B"/>
    <w:rsid w:val="00E13B48"/>
    <w:rsid w:val="00E1404F"/>
    <w:rsid w:val="00E145C1"/>
    <w:rsid w:val="00E21C83"/>
    <w:rsid w:val="00E22900"/>
    <w:rsid w:val="00E24ADA"/>
    <w:rsid w:val="00E30B23"/>
    <w:rsid w:val="00E32F59"/>
    <w:rsid w:val="00E346D8"/>
    <w:rsid w:val="00E400D2"/>
    <w:rsid w:val="00E46D9A"/>
    <w:rsid w:val="00E53478"/>
    <w:rsid w:val="00E537BD"/>
    <w:rsid w:val="00E565FF"/>
    <w:rsid w:val="00E6235C"/>
    <w:rsid w:val="00E65388"/>
    <w:rsid w:val="00E6704C"/>
    <w:rsid w:val="00E67D0C"/>
    <w:rsid w:val="00E77E2B"/>
    <w:rsid w:val="00E8036D"/>
    <w:rsid w:val="00E85A3C"/>
    <w:rsid w:val="00E85B31"/>
    <w:rsid w:val="00E85B7D"/>
    <w:rsid w:val="00E85EB1"/>
    <w:rsid w:val="00E9121B"/>
    <w:rsid w:val="00E9551A"/>
    <w:rsid w:val="00E96FCF"/>
    <w:rsid w:val="00E97733"/>
    <w:rsid w:val="00EA0AE2"/>
    <w:rsid w:val="00EA39E5"/>
    <w:rsid w:val="00EA6A0D"/>
    <w:rsid w:val="00EA7CB6"/>
    <w:rsid w:val="00EB27F8"/>
    <w:rsid w:val="00EC0817"/>
    <w:rsid w:val="00EC1353"/>
    <w:rsid w:val="00EC5A46"/>
    <w:rsid w:val="00EC63E2"/>
    <w:rsid w:val="00ED3030"/>
    <w:rsid w:val="00ED40E9"/>
    <w:rsid w:val="00ED51DE"/>
    <w:rsid w:val="00EE1D98"/>
    <w:rsid w:val="00EE3CD5"/>
    <w:rsid w:val="00EE6E36"/>
    <w:rsid w:val="00EF0991"/>
    <w:rsid w:val="00EF22B3"/>
    <w:rsid w:val="00EF795C"/>
    <w:rsid w:val="00F007F4"/>
    <w:rsid w:val="00F00E7C"/>
    <w:rsid w:val="00F01494"/>
    <w:rsid w:val="00F02500"/>
    <w:rsid w:val="00F02DEC"/>
    <w:rsid w:val="00F03B69"/>
    <w:rsid w:val="00F05F71"/>
    <w:rsid w:val="00F07083"/>
    <w:rsid w:val="00F07151"/>
    <w:rsid w:val="00F07A50"/>
    <w:rsid w:val="00F113DA"/>
    <w:rsid w:val="00F13CD8"/>
    <w:rsid w:val="00F16ABA"/>
    <w:rsid w:val="00F2271E"/>
    <w:rsid w:val="00F227B3"/>
    <w:rsid w:val="00F22EC3"/>
    <w:rsid w:val="00F270CC"/>
    <w:rsid w:val="00F32C8D"/>
    <w:rsid w:val="00F375D5"/>
    <w:rsid w:val="00F37DC8"/>
    <w:rsid w:val="00F439B3"/>
    <w:rsid w:val="00F44BC5"/>
    <w:rsid w:val="00F45540"/>
    <w:rsid w:val="00F541D7"/>
    <w:rsid w:val="00F63FF9"/>
    <w:rsid w:val="00F650C3"/>
    <w:rsid w:val="00F65D85"/>
    <w:rsid w:val="00F66BF1"/>
    <w:rsid w:val="00F70E6D"/>
    <w:rsid w:val="00F8091E"/>
    <w:rsid w:val="00F814E4"/>
    <w:rsid w:val="00F8615C"/>
    <w:rsid w:val="00F8772D"/>
    <w:rsid w:val="00F90789"/>
    <w:rsid w:val="00F969E5"/>
    <w:rsid w:val="00F96A74"/>
    <w:rsid w:val="00FA02F2"/>
    <w:rsid w:val="00FA0B88"/>
    <w:rsid w:val="00FA3910"/>
    <w:rsid w:val="00FA5A79"/>
    <w:rsid w:val="00FA6BB0"/>
    <w:rsid w:val="00FA789D"/>
    <w:rsid w:val="00FB0736"/>
    <w:rsid w:val="00FC4741"/>
    <w:rsid w:val="00FC5676"/>
    <w:rsid w:val="00FC6725"/>
    <w:rsid w:val="00FC6A26"/>
    <w:rsid w:val="00FD5860"/>
    <w:rsid w:val="00FE25CC"/>
    <w:rsid w:val="00FE352D"/>
    <w:rsid w:val="00FE40EB"/>
    <w:rsid w:val="00FE4D02"/>
    <w:rsid w:val="00FE7D62"/>
    <w:rsid w:val="00FF0D3E"/>
    <w:rsid w:val="00FF3819"/>
    <w:rsid w:val="00FF3C5E"/>
    <w:rsid w:val="00FF4633"/>
    <w:rsid w:val="00FF5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Bullet" w:uiPriority="9"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E90"/>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paragraph" w:customStyle="1" w:styleId="Level1">
    <w:name w:val="Level1"/>
    <w:basedOn w:val="Normal"/>
    <w:rsid w:val="00012C16"/>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character" w:customStyle="1" w:styleId="Heading2Char">
    <w:name w:val="Heading 2 Char"/>
    <w:link w:val="Heading2"/>
    <w:rsid w:val="00012C16"/>
    <w:rPr>
      <w:b/>
      <w:sz w:val="24"/>
      <w:szCs w:val="24"/>
      <w:lang w:val="fr-FR"/>
    </w:rPr>
  </w:style>
  <w:style w:type="character" w:customStyle="1" w:styleId="Normal-poolChar">
    <w:name w:val="Normal-pool Char"/>
    <w:link w:val="Normal-pool"/>
    <w:locked/>
    <w:rsid w:val="00012C16"/>
    <w:rPr>
      <w:lang w:val="en-GB"/>
    </w:rPr>
  </w:style>
  <w:style w:type="character" w:customStyle="1" w:styleId="FootnoteTextChar">
    <w:name w:val="Footnote Text Char"/>
    <w:link w:val="FootnoteText"/>
    <w:uiPriority w:val="99"/>
    <w:semiHidden/>
    <w:rsid w:val="006C4C5E"/>
    <w:rPr>
      <w:sz w:val="18"/>
      <w:lang w:val="fr-FR"/>
    </w:rPr>
  </w:style>
  <w:style w:type="character" w:customStyle="1" w:styleId="Heading1Char">
    <w:name w:val="Heading 1 Char"/>
    <w:link w:val="Heading1"/>
    <w:locked/>
    <w:rsid w:val="006C4C5E"/>
    <w:rPr>
      <w:b/>
      <w:sz w:val="28"/>
      <w:lang w:val="fr-FR"/>
    </w:rPr>
  </w:style>
  <w:style w:type="paragraph" w:customStyle="1" w:styleId="Body">
    <w:name w:val="Body"/>
    <w:rsid w:val="006C4C5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6C4C5E"/>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6C4C5E"/>
  </w:style>
  <w:style w:type="paragraph" w:styleId="BalloonText">
    <w:name w:val="Balloon Text"/>
    <w:basedOn w:val="Normal"/>
    <w:link w:val="BalloonTextChar"/>
    <w:uiPriority w:val="99"/>
    <w:unhideWhenUsed/>
    <w:rsid w:val="006C4C5E"/>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6C4C5E"/>
    <w:rPr>
      <w:rFonts w:ascii="Tahoma" w:eastAsia="MS Mincho" w:hAnsi="Tahoma" w:cs="Tahoma"/>
      <w:sz w:val="16"/>
      <w:szCs w:val="16"/>
      <w:lang w:val="en-GB" w:eastAsia="ja-JP"/>
    </w:rPr>
  </w:style>
  <w:style w:type="paragraph" w:customStyle="1" w:styleId="En-ttedetabledesmatires1">
    <w:name w:val="En-tête de table des matières1"/>
    <w:basedOn w:val="Heading1"/>
    <w:next w:val="Normal"/>
    <w:uiPriority w:val="39"/>
    <w:semiHidden/>
    <w:unhideWhenUsed/>
    <w:qFormat/>
    <w:rsid w:val="006C4C5E"/>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paragraph" w:customStyle="1" w:styleId="textstory">
    <w:name w:val="textstory"/>
    <w:basedOn w:val="Normal"/>
    <w:rsid w:val="006C4C5E"/>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6C4C5E"/>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63FF9"/>
    <w:rPr>
      <w:lang w:val="en-GB"/>
    </w:rPr>
  </w:style>
  <w:style w:type="paragraph" w:customStyle="1" w:styleId="H1">
    <w:name w:val="_ H_1"/>
    <w:basedOn w:val="Normal"/>
    <w:next w:val="SingleTxt"/>
    <w:rsid w:val="006C4C5E"/>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6C4C5E"/>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ListBullet">
    <w:name w:val="List Bullet"/>
    <w:basedOn w:val="Normal"/>
    <w:uiPriority w:val="9"/>
    <w:qFormat/>
    <w:rsid w:val="006C4C5E"/>
    <w:pPr>
      <w:numPr>
        <w:numId w:val="6"/>
      </w:numPr>
      <w:tabs>
        <w:tab w:val="clear" w:pos="1247"/>
        <w:tab w:val="clear" w:pos="1679"/>
        <w:tab w:val="clear" w:pos="1814"/>
        <w:tab w:val="clear" w:pos="2381"/>
        <w:tab w:val="clear" w:pos="2948"/>
        <w:tab w:val="clear" w:pos="3515"/>
        <w:tab w:val="num" w:pos="1134"/>
      </w:tabs>
      <w:spacing w:after="120" w:line="259" w:lineRule="auto"/>
      <w:ind w:left="1247" w:firstLine="0"/>
    </w:pPr>
    <w:rPr>
      <w:rFonts w:ascii="Calibri" w:eastAsia="Calibri" w:hAnsi="Calibri"/>
      <w:color w:val="595959"/>
      <w:sz w:val="30"/>
      <w:szCs w:val="30"/>
      <w:lang w:val="en-US" w:eastAsia="ja-JP"/>
    </w:rPr>
  </w:style>
  <w:style w:type="character" w:customStyle="1" w:styleId="termtoggle">
    <w:name w:val="term_toggle"/>
    <w:rsid w:val="006C4C5E"/>
  </w:style>
  <w:style w:type="paragraph" w:styleId="NormalWeb">
    <w:name w:val="Normal (Web)"/>
    <w:basedOn w:val="Normal"/>
    <w:uiPriority w:val="99"/>
    <w:unhideWhenUsed/>
    <w:rsid w:val="006C4C5E"/>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CommentReference">
    <w:name w:val="annotation reference"/>
    <w:rsid w:val="006C4C5E"/>
    <w:rPr>
      <w:sz w:val="18"/>
      <w:szCs w:val="18"/>
    </w:rPr>
  </w:style>
  <w:style w:type="paragraph" w:styleId="CommentText">
    <w:name w:val="annotation text"/>
    <w:basedOn w:val="Normal"/>
    <w:link w:val="CommentTextChar"/>
    <w:rsid w:val="006C4C5E"/>
    <w:rPr>
      <w:sz w:val="24"/>
      <w:szCs w:val="24"/>
      <w:lang w:val="en-GB"/>
    </w:rPr>
  </w:style>
  <w:style w:type="character" w:customStyle="1" w:styleId="CommentTextChar">
    <w:name w:val="Comment Text Char"/>
    <w:link w:val="CommentText"/>
    <w:rsid w:val="006C4C5E"/>
    <w:rPr>
      <w:sz w:val="24"/>
      <w:szCs w:val="24"/>
      <w:lang w:val="en-GB"/>
    </w:rPr>
  </w:style>
  <w:style w:type="paragraph" w:styleId="CommentSubject">
    <w:name w:val="annotation subject"/>
    <w:basedOn w:val="CommentText"/>
    <w:next w:val="CommentText"/>
    <w:link w:val="CommentSubjectChar"/>
    <w:rsid w:val="006C4C5E"/>
    <w:rPr>
      <w:b/>
      <w:bCs/>
      <w:sz w:val="20"/>
      <w:szCs w:val="20"/>
    </w:rPr>
  </w:style>
  <w:style w:type="character" w:customStyle="1" w:styleId="CommentSubjectChar">
    <w:name w:val="Comment Subject Char"/>
    <w:link w:val="CommentSubject"/>
    <w:rsid w:val="006C4C5E"/>
    <w:rPr>
      <w:b/>
      <w:bCs/>
      <w:sz w:val="24"/>
      <w:szCs w:val="24"/>
      <w:lang w:val="en-GB"/>
    </w:rPr>
  </w:style>
  <w:style w:type="character" w:styleId="FollowedHyperlink">
    <w:name w:val="FollowedHyperlink"/>
    <w:rsid w:val="00E05DF0"/>
    <w:rPr>
      <w:color w:val="800080"/>
      <w:u w:val="single"/>
    </w:rPr>
  </w:style>
  <w:style w:type="paragraph" w:customStyle="1" w:styleId="ColorfulShading-Accent11">
    <w:name w:val="Colorful Shading - Accent 11"/>
    <w:hidden/>
    <w:uiPriority w:val="71"/>
    <w:rsid w:val="00C15BFC"/>
    <w:rPr>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autoRedefine/>
    <w:rsid w:val="00F63FF9"/>
    <w:pPr>
      <w:numPr>
        <w:numId w:val="4"/>
      </w:numPr>
      <w:tabs>
        <w:tab w:val="clear" w:pos="1814"/>
        <w:tab w:val="clear" w:pos="2381"/>
        <w:tab w:val="clear" w:pos="2948"/>
        <w:tab w:val="clear" w:pos="3515"/>
        <w:tab w:val="clear" w:pos="4082"/>
        <w:tab w:val="left" w:pos="624"/>
        <w:tab w:val="left" w:pos="1871"/>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Bullet" w:uiPriority="9"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E90"/>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paragraph" w:customStyle="1" w:styleId="Level1">
    <w:name w:val="Level1"/>
    <w:basedOn w:val="Normal"/>
    <w:rsid w:val="00012C16"/>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character" w:customStyle="1" w:styleId="Heading2Char">
    <w:name w:val="Heading 2 Char"/>
    <w:link w:val="Heading2"/>
    <w:rsid w:val="00012C16"/>
    <w:rPr>
      <w:b/>
      <w:sz w:val="24"/>
      <w:szCs w:val="24"/>
      <w:lang w:val="fr-FR"/>
    </w:rPr>
  </w:style>
  <w:style w:type="character" w:customStyle="1" w:styleId="Normal-poolChar">
    <w:name w:val="Normal-pool Char"/>
    <w:link w:val="Normal-pool"/>
    <w:locked/>
    <w:rsid w:val="00012C16"/>
    <w:rPr>
      <w:lang w:val="en-GB"/>
    </w:rPr>
  </w:style>
  <w:style w:type="character" w:customStyle="1" w:styleId="FootnoteTextChar">
    <w:name w:val="Footnote Text Char"/>
    <w:link w:val="FootnoteText"/>
    <w:uiPriority w:val="99"/>
    <w:semiHidden/>
    <w:rsid w:val="006C4C5E"/>
    <w:rPr>
      <w:sz w:val="18"/>
      <w:lang w:val="fr-FR"/>
    </w:rPr>
  </w:style>
  <w:style w:type="character" w:customStyle="1" w:styleId="Heading1Char">
    <w:name w:val="Heading 1 Char"/>
    <w:link w:val="Heading1"/>
    <w:locked/>
    <w:rsid w:val="006C4C5E"/>
    <w:rPr>
      <w:b/>
      <w:sz w:val="28"/>
      <w:lang w:val="fr-FR"/>
    </w:rPr>
  </w:style>
  <w:style w:type="paragraph" w:customStyle="1" w:styleId="Body">
    <w:name w:val="Body"/>
    <w:rsid w:val="006C4C5E"/>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6C4C5E"/>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6C4C5E"/>
  </w:style>
  <w:style w:type="paragraph" w:styleId="BalloonText">
    <w:name w:val="Balloon Text"/>
    <w:basedOn w:val="Normal"/>
    <w:link w:val="BalloonTextChar"/>
    <w:uiPriority w:val="99"/>
    <w:unhideWhenUsed/>
    <w:rsid w:val="006C4C5E"/>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6C4C5E"/>
    <w:rPr>
      <w:rFonts w:ascii="Tahoma" w:eastAsia="MS Mincho" w:hAnsi="Tahoma" w:cs="Tahoma"/>
      <w:sz w:val="16"/>
      <w:szCs w:val="16"/>
      <w:lang w:val="en-GB" w:eastAsia="ja-JP"/>
    </w:rPr>
  </w:style>
  <w:style w:type="paragraph" w:customStyle="1" w:styleId="En-ttedetabledesmatires1">
    <w:name w:val="En-tête de table des matières1"/>
    <w:basedOn w:val="Heading1"/>
    <w:next w:val="Normal"/>
    <w:uiPriority w:val="39"/>
    <w:semiHidden/>
    <w:unhideWhenUsed/>
    <w:qFormat/>
    <w:rsid w:val="006C4C5E"/>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paragraph" w:customStyle="1" w:styleId="textstory">
    <w:name w:val="textstory"/>
    <w:basedOn w:val="Normal"/>
    <w:rsid w:val="006C4C5E"/>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6C4C5E"/>
    <w:rPr>
      <w:rFonts w:ascii="Century" w:eastAsia="MS Mincho"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umberChar">
    <w:name w:val="Normal_number Char"/>
    <w:link w:val="Normalnumber"/>
    <w:rsid w:val="00F63FF9"/>
    <w:rPr>
      <w:lang w:val="en-GB"/>
    </w:rPr>
  </w:style>
  <w:style w:type="paragraph" w:customStyle="1" w:styleId="H1">
    <w:name w:val="_ H_1"/>
    <w:basedOn w:val="Normal"/>
    <w:next w:val="SingleTxt"/>
    <w:rsid w:val="006C4C5E"/>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SingleTxt">
    <w:name w:val="__Single Txt"/>
    <w:basedOn w:val="Normal"/>
    <w:rsid w:val="006C4C5E"/>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lang w:val="en-GB"/>
    </w:rPr>
  </w:style>
  <w:style w:type="paragraph" w:styleId="ListBullet">
    <w:name w:val="List Bullet"/>
    <w:basedOn w:val="Normal"/>
    <w:uiPriority w:val="9"/>
    <w:qFormat/>
    <w:rsid w:val="006C4C5E"/>
    <w:pPr>
      <w:numPr>
        <w:numId w:val="6"/>
      </w:numPr>
      <w:tabs>
        <w:tab w:val="clear" w:pos="1247"/>
        <w:tab w:val="clear" w:pos="1679"/>
        <w:tab w:val="clear" w:pos="1814"/>
        <w:tab w:val="clear" w:pos="2381"/>
        <w:tab w:val="clear" w:pos="2948"/>
        <w:tab w:val="clear" w:pos="3515"/>
        <w:tab w:val="num" w:pos="1134"/>
      </w:tabs>
      <w:spacing w:after="120" w:line="259" w:lineRule="auto"/>
      <w:ind w:left="1247" w:firstLine="0"/>
    </w:pPr>
    <w:rPr>
      <w:rFonts w:ascii="Calibri" w:eastAsia="Calibri" w:hAnsi="Calibri"/>
      <w:color w:val="595959"/>
      <w:sz w:val="30"/>
      <w:szCs w:val="30"/>
      <w:lang w:val="en-US" w:eastAsia="ja-JP"/>
    </w:rPr>
  </w:style>
  <w:style w:type="character" w:customStyle="1" w:styleId="termtoggle">
    <w:name w:val="term_toggle"/>
    <w:rsid w:val="006C4C5E"/>
  </w:style>
  <w:style w:type="paragraph" w:styleId="NormalWeb">
    <w:name w:val="Normal (Web)"/>
    <w:basedOn w:val="Normal"/>
    <w:uiPriority w:val="99"/>
    <w:unhideWhenUsed/>
    <w:rsid w:val="006C4C5E"/>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CommentReference">
    <w:name w:val="annotation reference"/>
    <w:rsid w:val="006C4C5E"/>
    <w:rPr>
      <w:sz w:val="18"/>
      <w:szCs w:val="18"/>
    </w:rPr>
  </w:style>
  <w:style w:type="paragraph" w:styleId="CommentText">
    <w:name w:val="annotation text"/>
    <w:basedOn w:val="Normal"/>
    <w:link w:val="CommentTextChar"/>
    <w:rsid w:val="006C4C5E"/>
    <w:rPr>
      <w:sz w:val="24"/>
      <w:szCs w:val="24"/>
      <w:lang w:val="en-GB"/>
    </w:rPr>
  </w:style>
  <w:style w:type="character" w:customStyle="1" w:styleId="CommentTextChar">
    <w:name w:val="Comment Text Char"/>
    <w:link w:val="CommentText"/>
    <w:rsid w:val="006C4C5E"/>
    <w:rPr>
      <w:sz w:val="24"/>
      <w:szCs w:val="24"/>
      <w:lang w:val="en-GB"/>
    </w:rPr>
  </w:style>
  <w:style w:type="paragraph" w:styleId="CommentSubject">
    <w:name w:val="annotation subject"/>
    <w:basedOn w:val="CommentText"/>
    <w:next w:val="CommentText"/>
    <w:link w:val="CommentSubjectChar"/>
    <w:rsid w:val="006C4C5E"/>
    <w:rPr>
      <w:b/>
      <w:bCs/>
      <w:sz w:val="20"/>
      <w:szCs w:val="20"/>
    </w:rPr>
  </w:style>
  <w:style w:type="character" w:customStyle="1" w:styleId="CommentSubjectChar">
    <w:name w:val="Comment Subject Char"/>
    <w:link w:val="CommentSubject"/>
    <w:rsid w:val="006C4C5E"/>
    <w:rPr>
      <w:b/>
      <w:bCs/>
      <w:sz w:val="24"/>
      <w:szCs w:val="24"/>
      <w:lang w:val="en-GB"/>
    </w:rPr>
  </w:style>
  <w:style w:type="character" w:styleId="FollowedHyperlink">
    <w:name w:val="FollowedHyperlink"/>
    <w:rsid w:val="00E05DF0"/>
    <w:rPr>
      <w:color w:val="800080"/>
      <w:u w:val="single"/>
    </w:rPr>
  </w:style>
  <w:style w:type="paragraph" w:customStyle="1" w:styleId="ColorfulShading-Accent11">
    <w:name w:val="Colorful Shading - Accent 11"/>
    <w:hidden/>
    <w:uiPriority w:val="71"/>
    <w:rsid w:val="00C15BFC"/>
    <w:rPr>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autoRedefine/>
    <w:rsid w:val="00F63FF9"/>
    <w:pPr>
      <w:numPr>
        <w:numId w:val="4"/>
      </w:numPr>
      <w:tabs>
        <w:tab w:val="clear" w:pos="1814"/>
        <w:tab w:val="clear" w:pos="2381"/>
        <w:tab w:val="clear" w:pos="2948"/>
        <w:tab w:val="clear" w:pos="3515"/>
        <w:tab w:val="clear" w:pos="4082"/>
        <w:tab w:val="left" w:pos="624"/>
        <w:tab w:val="left" w:pos="1871"/>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scear.org/unscear/en/publications/2013_1.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formea.org/" TargetMode="External"/><Relationship Id="rId2" Type="http://schemas.openxmlformats.org/officeDocument/2006/relationships/hyperlink" Target="http://www.un.org/Depts/los/global_reporting/global_reporting.htm" TargetMode="External"/><Relationship Id="rId1" Type="http://schemas.openxmlformats.org/officeDocument/2006/relationships/hyperlink" Target="http://www.geftw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5437-2FF4-4076-94F0-87FF566788DB}">
  <ds:schemaRefs>
    <ds:schemaRef ds:uri="http://schemas.openxmlformats.org/officeDocument/2006/bibliography"/>
  </ds:schemaRefs>
</ds:datastoreItem>
</file>

<file path=customXml/itemProps2.xml><?xml version="1.0" encoding="utf-8"?>
<ds:datastoreItem xmlns:ds="http://schemas.openxmlformats.org/officeDocument/2006/customXml" ds:itemID="{04CCC1B4-82E7-4C75-AA03-683BAA62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8174</Words>
  <Characters>46598</Characters>
  <Application>Microsoft Office Word</Application>
  <DocSecurity>0</DocSecurity>
  <Lines>388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54663</CharactersWithSpaces>
  <SharedDoc>false</SharedDoc>
  <HLinks>
    <vt:vector size="30" baseType="variant">
      <vt:variant>
        <vt:i4>1114215</vt:i4>
      </vt:variant>
      <vt:variant>
        <vt:i4>6</vt:i4>
      </vt:variant>
      <vt:variant>
        <vt:i4>0</vt:i4>
      </vt:variant>
      <vt:variant>
        <vt:i4>5</vt:i4>
      </vt:variant>
      <vt:variant>
        <vt:lpwstr>http://www.unscear.org/unscear/en/publications/2013_1.html</vt:lpwstr>
      </vt:variant>
      <vt:variant>
        <vt:lpwstr/>
      </vt:variant>
      <vt:variant>
        <vt:i4>2359419</vt:i4>
      </vt:variant>
      <vt:variant>
        <vt:i4>3</vt:i4>
      </vt:variant>
      <vt:variant>
        <vt:i4>0</vt:i4>
      </vt:variant>
      <vt:variant>
        <vt:i4>5</vt:i4>
      </vt:variant>
      <vt:variant>
        <vt:lpwstr>http://uneplive.unep.org/theme/index/13</vt:lpwstr>
      </vt:variant>
      <vt:variant>
        <vt:lpwstr>indcs</vt:lpwstr>
      </vt:variant>
      <vt:variant>
        <vt:i4>4194389</vt:i4>
      </vt:variant>
      <vt:variant>
        <vt:i4>6</vt:i4>
      </vt:variant>
      <vt:variant>
        <vt:i4>0</vt:i4>
      </vt:variant>
      <vt:variant>
        <vt:i4>5</vt:i4>
      </vt:variant>
      <vt:variant>
        <vt:lpwstr>http://www.informea.org/</vt:lpwstr>
      </vt:variant>
      <vt:variant>
        <vt:lpwstr/>
      </vt:variant>
      <vt:variant>
        <vt:i4>3342387</vt:i4>
      </vt:variant>
      <vt:variant>
        <vt:i4>3</vt:i4>
      </vt:variant>
      <vt:variant>
        <vt:i4>0</vt:i4>
      </vt:variant>
      <vt:variant>
        <vt:i4>5</vt:i4>
      </vt:variant>
      <vt:variant>
        <vt:lpwstr>http://www.un.org/Depts/los/global_reporting/global_reporting.htm</vt:lpwstr>
      </vt:variant>
      <vt:variant>
        <vt:lpwstr/>
      </vt:variant>
      <vt:variant>
        <vt:i4>2424956</vt:i4>
      </vt:variant>
      <vt:variant>
        <vt:i4>0</vt:i4>
      </vt:variant>
      <vt:variant>
        <vt:i4>0</vt:i4>
      </vt:variant>
      <vt:variant>
        <vt:i4>5</vt:i4>
      </vt:variant>
      <vt:variant>
        <vt:lpwstr>http://www.geftwap.org/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John Njuguna</cp:lastModifiedBy>
  <cp:revision>2</cp:revision>
  <cp:lastPrinted>2016-03-29T08:42:00Z</cp:lastPrinted>
  <dcterms:created xsi:type="dcterms:W3CDTF">2016-04-11T14:37:00Z</dcterms:created>
  <dcterms:modified xsi:type="dcterms:W3CDTF">2016-04-11T14:37:00Z</dcterms:modified>
</cp:coreProperties>
</file>