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BB" w:rsidRPr="00444D8F" w:rsidRDefault="00CA20BB" w:rsidP="00CA20BB">
      <w:pPr>
        <w:tabs>
          <w:tab w:val="clear" w:pos="1247"/>
          <w:tab w:val="clear" w:pos="1814"/>
          <w:tab w:val="clear" w:pos="2381"/>
          <w:tab w:val="clear" w:pos="2948"/>
          <w:tab w:val="clear" w:pos="3515"/>
        </w:tabs>
        <w:autoSpaceDE w:val="0"/>
        <w:autoSpaceDN w:val="0"/>
        <w:adjustRightInd w:val="0"/>
        <w:rPr>
          <w:rStyle w:val="Emphasis"/>
        </w:rPr>
      </w:pPr>
      <w:bookmarkStart w:id="0" w:name="_GoBack"/>
      <w:bookmarkEnd w:id="0"/>
    </w:p>
    <w:tbl>
      <w:tblPr>
        <w:tblW w:w="5000" w:type="pct"/>
        <w:jc w:val="right"/>
        <w:tblLayout w:type="fixed"/>
        <w:tblLook w:val="0000" w:firstRow="0" w:lastRow="0" w:firstColumn="0" w:lastColumn="0" w:noHBand="0" w:noVBand="0"/>
      </w:tblPr>
      <w:tblGrid>
        <w:gridCol w:w="1550"/>
        <w:gridCol w:w="6071"/>
        <w:gridCol w:w="2091"/>
      </w:tblGrid>
      <w:tr w:rsidR="00FE2AD9" w:rsidRPr="00142081" w:rsidTr="005A4EED">
        <w:trPr>
          <w:cantSplit/>
          <w:trHeight w:val="850"/>
          <w:jc w:val="right"/>
        </w:trPr>
        <w:tc>
          <w:tcPr>
            <w:tcW w:w="1550" w:type="dxa"/>
          </w:tcPr>
          <w:p w:rsidR="00FE2AD9" w:rsidRPr="00142081" w:rsidRDefault="00FE2AD9" w:rsidP="005470DA">
            <w:pPr>
              <w:rPr>
                <w:rFonts w:ascii="Univers" w:hAnsi="Univers"/>
                <w:b/>
                <w:noProof/>
                <w:sz w:val="27"/>
                <w:szCs w:val="27"/>
                <w:lang w:val="en-GB"/>
              </w:rPr>
            </w:pPr>
            <w:r w:rsidRPr="00142081">
              <w:rPr>
                <w:rFonts w:ascii="Arial" w:hAnsi="Arial" w:cs="Arial"/>
                <w:b/>
                <w:noProof/>
                <w:sz w:val="27"/>
                <w:szCs w:val="27"/>
                <w:lang w:val="en-GB"/>
              </w:rPr>
              <w:t>UNITED</w:t>
            </w:r>
            <w:r w:rsidRPr="00142081">
              <w:rPr>
                <w:rFonts w:ascii="Arial" w:hAnsi="Arial" w:cs="Arial"/>
                <w:b/>
                <w:noProof/>
                <w:sz w:val="27"/>
                <w:szCs w:val="27"/>
                <w:lang w:val="en-GB"/>
              </w:rPr>
              <w:br/>
              <w:t>NATIONS</w:t>
            </w:r>
          </w:p>
        </w:tc>
        <w:tc>
          <w:tcPr>
            <w:tcW w:w="6071" w:type="dxa"/>
          </w:tcPr>
          <w:p w:rsidR="00FE2AD9" w:rsidRPr="00142081" w:rsidRDefault="00FE2AD9" w:rsidP="005470DA">
            <w:pPr>
              <w:rPr>
                <w:rFonts w:ascii="Univers" w:hAnsi="Univers"/>
                <w:b/>
                <w:sz w:val="27"/>
                <w:szCs w:val="27"/>
                <w:lang w:val="en-GB"/>
              </w:rPr>
            </w:pPr>
          </w:p>
        </w:tc>
        <w:tc>
          <w:tcPr>
            <w:tcW w:w="2091" w:type="dxa"/>
          </w:tcPr>
          <w:p w:rsidR="00FE2AD9" w:rsidRPr="00142081" w:rsidRDefault="00FE2AD9" w:rsidP="005470DA">
            <w:pPr>
              <w:jc w:val="right"/>
              <w:rPr>
                <w:rFonts w:ascii="Arial" w:hAnsi="Arial" w:cs="Arial"/>
                <w:b/>
                <w:sz w:val="64"/>
                <w:szCs w:val="64"/>
                <w:lang w:val="en-GB"/>
              </w:rPr>
            </w:pPr>
            <w:r w:rsidRPr="00142081">
              <w:rPr>
                <w:rFonts w:ascii="Arial" w:hAnsi="Arial" w:cs="Arial"/>
                <w:b/>
                <w:sz w:val="64"/>
                <w:szCs w:val="64"/>
                <w:lang w:val="en-GB"/>
              </w:rPr>
              <w:t>EP</w:t>
            </w:r>
          </w:p>
        </w:tc>
      </w:tr>
      <w:tr w:rsidR="00FE2AD9" w:rsidRPr="00142081" w:rsidTr="005A4EED">
        <w:trPr>
          <w:cantSplit/>
          <w:trHeight w:val="281"/>
          <w:jc w:val="right"/>
        </w:trPr>
        <w:tc>
          <w:tcPr>
            <w:tcW w:w="1550" w:type="dxa"/>
            <w:tcBorders>
              <w:bottom w:val="single" w:sz="4" w:space="0" w:color="auto"/>
            </w:tcBorders>
          </w:tcPr>
          <w:p w:rsidR="00FE2AD9" w:rsidRPr="00142081" w:rsidRDefault="00FE2AD9" w:rsidP="005470DA">
            <w:pPr>
              <w:rPr>
                <w:noProof/>
                <w:sz w:val="18"/>
                <w:szCs w:val="18"/>
                <w:lang w:val="en-GB"/>
              </w:rPr>
            </w:pPr>
          </w:p>
        </w:tc>
        <w:tc>
          <w:tcPr>
            <w:tcW w:w="6071" w:type="dxa"/>
            <w:tcBorders>
              <w:bottom w:val="single" w:sz="4" w:space="0" w:color="auto"/>
            </w:tcBorders>
          </w:tcPr>
          <w:p w:rsidR="00FE2AD9" w:rsidRPr="00142081" w:rsidRDefault="00FE2AD9" w:rsidP="005470DA">
            <w:pPr>
              <w:rPr>
                <w:rFonts w:ascii="Univers" w:hAnsi="Univers"/>
                <w:b/>
                <w:sz w:val="18"/>
                <w:szCs w:val="18"/>
                <w:lang w:val="en-GB"/>
              </w:rPr>
            </w:pPr>
          </w:p>
        </w:tc>
        <w:tc>
          <w:tcPr>
            <w:tcW w:w="2091" w:type="dxa"/>
            <w:tcBorders>
              <w:bottom w:val="single" w:sz="4" w:space="0" w:color="auto"/>
            </w:tcBorders>
          </w:tcPr>
          <w:p w:rsidR="00FE2AD9" w:rsidRPr="00142081" w:rsidRDefault="00FE2AD9" w:rsidP="00F05722">
            <w:pPr>
              <w:rPr>
                <w:noProof/>
                <w:sz w:val="18"/>
                <w:szCs w:val="18"/>
                <w:lang w:val="en-GB"/>
              </w:rPr>
            </w:pPr>
            <w:r w:rsidRPr="00142081">
              <w:rPr>
                <w:b/>
                <w:bCs/>
                <w:sz w:val="28"/>
                <w:lang w:val="en-GB"/>
              </w:rPr>
              <w:t>UNEP</w:t>
            </w:r>
            <w:r w:rsidRPr="00142081">
              <w:rPr>
                <w:lang w:val="en-GB"/>
              </w:rPr>
              <w:t>/EA.2</w:t>
            </w:r>
            <w:r w:rsidRPr="005E6C6D">
              <w:rPr>
                <w:lang w:val="en-GB"/>
              </w:rPr>
              <w:t>/</w:t>
            </w:r>
            <w:r w:rsidR="005A4EED" w:rsidRPr="005E6C6D">
              <w:rPr>
                <w:lang w:val="en-GB"/>
              </w:rPr>
              <w:t>R</w:t>
            </w:r>
            <w:r w:rsidR="005E6C6D" w:rsidRPr="005E6C6D">
              <w:rPr>
                <w:lang w:val="en-GB"/>
              </w:rPr>
              <w:t>es</w:t>
            </w:r>
            <w:r w:rsidR="009C37F1">
              <w:rPr>
                <w:lang w:val="en-GB"/>
              </w:rPr>
              <w:t>.</w:t>
            </w:r>
            <w:r w:rsidR="00F05722">
              <w:rPr>
                <w:lang w:val="en-GB"/>
              </w:rPr>
              <w:t>9</w:t>
            </w:r>
          </w:p>
        </w:tc>
      </w:tr>
      <w:bookmarkStart w:id="1" w:name="_MON_1021710482"/>
      <w:bookmarkEnd w:id="1"/>
      <w:bookmarkStart w:id="2" w:name="_MON_1021710510"/>
      <w:bookmarkEnd w:id="2"/>
      <w:tr w:rsidR="005A4EED" w:rsidRPr="00F05722" w:rsidTr="005A4EED">
        <w:trPr>
          <w:cantSplit/>
          <w:trHeight w:val="1003"/>
          <w:jc w:val="right"/>
        </w:trPr>
        <w:tc>
          <w:tcPr>
            <w:tcW w:w="1550" w:type="dxa"/>
            <w:vMerge w:val="restart"/>
            <w:tcBorders>
              <w:top w:val="single" w:sz="4" w:space="0" w:color="auto"/>
            </w:tcBorders>
          </w:tcPr>
          <w:p w:rsidR="005A4EED" w:rsidRPr="00142081" w:rsidRDefault="005A4EED" w:rsidP="000B4AF8">
            <w:pPr>
              <w:jc w:val="center"/>
              <w:rPr>
                <w:noProof/>
                <w:lang w:val="en-GB"/>
              </w:rPr>
            </w:pPr>
            <w:r w:rsidRPr="000377B3">
              <w:rPr>
                <w:noProof/>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8pt" o:ole="" fillcolor="window">
                  <v:imagedata r:id="rId8" o:title=""/>
                </v:shape>
                <o:OLEObject Type="Embed" ProgID="Word.Picture.8" ShapeID="_x0000_i1025" DrawAspect="Content" ObjectID="_1535171708" r:id="rId9"/>
              </w:object>
            </w:r>
            <w:r w:rsidRPr="000377B3">
              <w:rPr>
                <w:noProof/>
                <w:lang w:val="en-US"/>
              </w:rPr>
              <w:drawing>
                <wp:inline distT="0" distB="0" distL="0" distR="0" wp14:anchorId="79CBD9B0" wp14:editId="1C6B330B">
                  <wp:extent cx="655093" cy="639292"/>
                  <wp:effectExtent l="0" t="0" r="0" b="889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723" cy="642834"/>
                          </a:xfrm>
                          <a:prstGeom prst="rect">
                            <a:avLst/>
                          </a:prstGeom>
                          <a:noFill/>
                          <a:ln>
                            <a:noFill/>
                          </a:ln>
                        </pic:spPr>
                      </pic:pic>
                    </a:graphicData>
                  </a:graphic>
                </wp:inline>
              </w:drawing>
            </w:r>
          </w:p>
        </w:tc>
        <w:tc>
          <w:tcPr>
            <w:tcW w:w="6071" w:type="dxa"/>
            <w:tcBorders>
              <w:top w:val="single" w:sz="4" w:space="0" w:color="auto"/>
            </w:tcBorders>
          </w:tcPr>
          <w:p w:rsidR="005A4EED" w:rsidRPr="00142081" w:rsidRDefault="005A4EED" w:rsidP="005A4EED">
            <w:pPr>
              <w:spacing w:before="360" w:after="120"/>
              <w:rPr>
                <w:rFonts w:ascii="Univers" w:hAnsi="Univers"/>
                <w:b/>
                <w:sz w:val="28"/>
                <w:szCs w:val="28"/>
                <w:lang w:val="en-GB"/>
              </w:rPr>
            </w:pPr>
          </w:p>
        </w:tc>
        <w:tc>
          <w:tcPr>
            <w:tcW w:w="2091" w:type="dxa"/>
            <w:tcBorders>
              <w:top w:val="single" w:sz="4" w:space="0" w:color="auto"/>
            </w:tcBorders>
          </w:tcPr>
          <w:p w:rsidR="005A4EED" w:rsidRPr="00142081" w:rsidRDefault="005A4EED" w:rsidP="00F26AA2">
            <w:pPr>
              <w:spacing w:before="120"/>
              <w:rPr>
                <w:lang w:val="en-GB"/>
              </w:rPr>
            </w:pPr>
            <w:r w:rsidRPr="00142081">
              <w:rPr>
                <w:lang w:val="en-GB"/>
              </w:rPr>
              <w:t xml:space="preserve">Distr.: </w:t>
            </w:r>
            <w:r>
              <w:rPr>
                <w:lang w:val="en-GB"/>
              </w:rPr>
              <w:t>General</w:t>
            </w:r>
            <w:r w:rsidRPr="00142081">
              <w:rPr>
                <w:lang w:val="en-GB"/>
              </w:rPr>
              <w:br/>
            </w:r>
            <w:r w:rsidR="00F05722">
              <w:rPr>
                <w:lang w:val="en-GB"/>
              </w:rPr>
              <w:t>4</w:t>
            </w:r>
            <w:r w:rsidR="00BC773A">
              <w:rPr>
                <w:lang w:val="en-GB"/>
              </w:rPr>
              <w:t xml:space="preserve"> August</w:t>
            </w:r>
            <w:r w:rsidR="00A43A4D">
              <w:rPr>
                <w:lang w:val="en-GB"/>
              </w:rPr>
              <w:t xml:space="preserve"> </w:t>
            </w:r>
            <w:r w:rsidRPr="00142081">
              <w:rPr>
                <w:lang w:val="en-GB"/>
              </w:rPr>
              <w:t>2016</w:t>
            </w:r>
          </w:p>
          <w:p w:rsidR="005A4EED" w:rsidRPr="00142081" w:rsidRDefault="005A4EED" w:rsidP="00F26AA2">
            <w:pPr>
              <w:spacing w:before="120"/>
              <w:rPr>
                <w:lang w:val="en-GB"/>
              </w:rPr>
            </w:pPr>
            <w:r w:rsidRPr="00822421">
              <w:rPr>
                <w:lang w:val="en-GB"/>
              </w:rPr>
              <w:t>Original: English</w:t>
            </w:r>
          </w:p>
        </w:tc>
      </w:tr>
      <w:tr w:rsidR="005A4EED" w:rsidRPr="00F05722" w:rsidTr="0084500B">
        <w:trPr>
          <w:cantSplit/>
          <w:trHeight w:val="934"/>
          <w:jc w:val="right"/>
        </w:trPr>
        <w:tc>
          <w:tcPr>
            <w:tcW w:w="1550" w:type="dxa"/>
            <w:vMerge/>
            <w:tcBorders>
              <w:bottom w:val="single" w:sz="24" w:space="0" w:color="auto"/>
            </w:tcBorders>
          </w:tcPr>
          <w:p w:rsidR="005A4EED" w:rsidRPr="000377B3" w:rsidRDefault="005A4EED" w:rsidP="000B4AF8">
            <w:pPr>
              <w:jc w:val="center"/>
              <w:rPr>
                <w:noProof/>
                <w:lang w:val="en-GB"/>
              </w:rPr>
            </w:pPr>
          </w:p>
        </w:tc>
        <w:tc>
          <w:tcPr>
            <w:tcW w:w="8162" w:type="dxa"/>
            <w:gridSpan w:val="2"/>
            <w:tcBorders>
              <w:bottom w:val="single" w:sz="24" w:space="0" w:color="auto"/>
            </w:tcBorders>
          </w:tcPr>
          <w:p w:rsidR="005A4EED" w:rsidRPr="00142081" w:rsidRDefault="005A4EED" w:rsidP="00991611">
            <w:pPr>
              <w:spacing w:before="360" w:after="120"/>
              <w:rPr>
                <w:lang w:val="en-GB"/>
              </w:rPr>
            </w:pPr>
            <w:r w:rsidRPr="00142081">
              <w:rPr>
                <w:rFonts w:ascii="Arial" w:hAnsi="Arial" w:cs="Arial"/>
                <w:b/>
                <w:sz w:val="28"/>
                <w:szCs w:val="28"/>
                <w:lang w:val="en-GB"/>
              </w:rPr>
              <w:t xml:space="preserve">United Nations </w:t>
            </w:r>
            <w:r w:rsidR="00991611">
              <w:rPr>
                <w:rFonts w:ascii="Arial" w:hAnsi="Arial" w:cs="Arial"/>
                <w:b/>
                <w:sz w:val="28"/>
                <w:szCs w:val="28"/>
                <w:lang w:val="en-GB"/>
              </w:rPr>
              <w:br/>
            </w:r>
            <w:r w:rsidRPr="00142081">
              <w:rPr>
                <w:rFonts w:ascii="Arial" w:hAnsi="Arial" w:cs="Arial"/>
                <w:b/>
                <w:sz w:val="28"/>
                <w:szCs w:val="28"/>
                <w:lang w:val="en-GB"/>
              </w:rPr>
              <w:t>Environment Assembly</w:t>
            </w:r>
            <w:r w:rsidR="00991611">
              <w:rPr>
                <w:rFonts w:ascii="Arial" w:hAnsi="Arial" w:cs="Arial"/>
                <w:b/>
                <w:sz w:val="28"/>
                <w:szCs w:val="28"/>
                <w:lang w:val="en-GB"/>
              </w:rPr>
              <w:t xml:space="preserve"> </w:t>
            </w:r>
            <w:r w:rsidRPr="00142081">
              <w:rPr>
                <w:rFonts w:ascii="Arial" w:hAnsi="Arial" w:cs="Arial"/>
                <w:b/>
                <w:sz w:val="28"/>
                <w:szCs w:val="28"/>
                <w:lang w:val="en-GB"/>
              </w:rPr>
              <w:t xml:space="preserve">of the </w:t>
            </w:r>
            <w:r w:rsidR="00991611">
              <w:rPr>
                <w:rFonts w:ascii="Arial" w:hAnsi="Arial" w:cs="Arial"/>
                <w:b/>
                <w:sz w:val="28"/>
                <w:szCs w:val="28"/>
                <w:lang w:val="en-GB"/>
              </w:rPr>
              <w:br/>
            </w:r>
            <w:r w:rsidRPr="00142081">
              <w:rPr>
                <w:rFonts w:ascii="Arial" w:hAnsi="Arial" w:cs="Arial"/>
                <w:b/>
                <w:sz w:val="28"/>
                <w:szCs w:val="28"/>
                <w:lang w:val="en-GB"/>
              </w:rPr>
              <w:t xml:space="preserve">United Nations Environment </w:t>
            </w:r>
            <w:r w:rsidR="00991611">
              <w:rPr>
                <w:rFonts w:ascii="Arial" w:hAnsi="Arial" w:cs="Arial"/>
                <w:b/>
                <w:sz w:val="28"/>
                <w:szCs w:val="28"/>
                <w:lang w:val="en-GB"/>
              </w:rPr>
              <w:br/>
            </w:r>
            <w:r w:rsidRPr="00142081">
              <w:rPr>
                <w:rFonts w:ascii="Arial" w:hAnsi="Arial" w:cs="Arial"/>
                <w:b/>
                <w:sz w:val="28"/>
                <w:szCs w:val="28"/>
                <w:lang w:val="en-GB"/>
              </w:rPr>
              <w:t>Programme</w:t>
            </w:r>
          </w:p>
        </w:tc>
      </w:tr>
    </w:tbl>
    <w:p w:rsidR="00FE2AD9" w:rsidRPr="00FE2AD9" w:rsidRDefault="00FE2AD9" w:rsidP="00FB13F1">
      <w:pPr>
        <w:pStyle w:val="AATitle"/>
        <w:tabs>
          <w:tab w:val="clear" w:pos="2381"/>
          <w:tab w:val="clear" w:pos="2948"/>
          <w:tab w:val="clear" w:pos="3515"/>
          <w:tab w:val="clear" w:pos="4082"/>
        </w:tabs>
        <w:ind w:right="-2"/>
        <w:rPr>
          <w:lang w:val="en-US"/>
        </w:rPr>
      </w:pPr>
      <w:r w:rsidRPr="00FE2AD9">
        <w:rPr>
          <w:lang w:val="en-US"/>
        </w:rPr>
        <w:t>United Nations Environment Assembly of the</w:t>
      </w:r>
      <w:r w:rsidRPr="00FE2AD9">
        <w:rPr>
          <w:lang w:val="en-US"/>
        </w:rPr>
        <w:br/>
        <w:t xml:space="preserve">United Nations Environment </w:t>
      </w:r>
      <w:proofErr w:type="spellStart"/>
      <w:r w:rsidRPr="00FE2AD9">
        <w:rPr>
          <w:lang w:val="en-US"/>
        </w:rPr>
        <w:t>Programme</w:t>
      </w:r>
      <w:proofErr w:type="spellEnd"/>
    </w:p>
    <w:p w:rsidR="00FE2AD9" w:rsidRPr="00FE2AD9" w:rsidRDefault="00FE2AD9" w:rsidP="00FB13F1">
      <w:pPr>
        <w:pStyle w:val="AATitle"/>
        <w:tabs>
          <w:tab w:val="clear" w:pos="2381"/>
          <w:tab w:val="clear" w:pos="2948"/>
          <w:tab w:val="clear" w:pos="3515"/>
          <w:tab w:val="clear" w:pos="4082"/>
        </w:tabs>
        <w:ind w:right="-2"/>
        <w:rPr>
          <w:lang w:val="en-US"/>
        </w:rPr>
      </w:pPr>
      <w:r w:rsidRPr="00FE2AD9">
        <w:rPr>
          <w:lang w:val="en-US"/>
        </w:rPr>
        <w:t>Second session</w:t>
      </w:r>
    </w:p>
    <w:p w:rsidR="00FE2AD9" w:rsidRPr="00AE128E" w:rsidRDefault="00FE2AD9" w:rsidP="006727DC">
      <w:pPr>
        <w:pStyle w:val="AATitle"/>
        <w:keepNext w:val="0"/>
        <w:keepLines w:val="0"/>
        <w:tabs>
          <w:tab w:val="clear" w:pos="2381"/>
          <w:tab w:val="clear" w:pos="2948"/>
          <w:tab w:val="clear" w:pos="3515"/>
          <w:tab w:val="clear" w:pos="4082"/>
        </w:tabs>
        <w:ind w:right="-2"/>
        <w:outlineLvl w:val="0"/>
        <w:rPr>
          <w:b w:val="0"/>
          <w:lang w:val="en-US"/>
        </w:rPr>
      </w:pPr>
      <w:r w:rsidRPr="00AE128E">
        <w:rPr>
          <w:b w:val="0"/>
          <w:lang w:val="en-US"/>
        </w:rPr>
        <w:t>Nairobi, 23–27 May 2016</w:t>
      </w:r>
    </w:p>
    <w:p w:rsidR="00F05722" w:rsidRPr="00DD05D5" w:rsidRDefault="00F05722" w:rsidP="00F05722">
      <w:pPr>
        <w:pStyle w:val="BBTitle"/>
        <w:keepNext w:val="0"/>
        <w:keepLines w:val="0"/>
        <w:tabs>
          <w:tab w:val="clear" w:pos="1247"/>
          <w:tab w:val="clear" w:pos="1814"/>
          <w:tab w:val="clear" w:pos="2381"/>
          <w:tab w:val="clear" w:pos="2948"/>
          <w:tab w:val="clear" w:pos="3515"/>
          <w:tab w:val="clear" w:pos="4082"/>
          <w:tab w:val="left" w:pos="2127"/>
        </w:tabs>
        <w:spacing w:before="240" w:after="120"/>
        <w:ind w:left="1871" w:hanging="624"/>
        <w:rPr>
          <w:rFonts w:eastAsia="Batang"/>
          <w:bCs/>
        </w:rPr>
      </w:pPr>
      <w:r w:rsidRPr="00DD05D5">
        <w:rPr>
          <w:rFonts w:eastAsia="Batang"/>
        </w:rPr>
        <w:t>2/9.</w:t>
      </w:r>
      <w:r w:rsidRPr="00DD05D5">
        <w:rPr>
          <w:rFonts w:eastAsia="Batang"/>
        </w:rPr>
        <w:tab/>
        <w:t xml:space="preserve">Prevention, reduction and reuse of food waste </w:t>
      </w:r>
    </w:p>
    <w:p w:rsidR="00F05722" w:rsidRPr="00EB270D" w:rsidRDefault="00F05722" w:rsidP="00F05722">
      <w:pPr>
        <w:tabs>
          <w:tab w:val="clear" w:pos="1247"/>
          <w:tab w:val="clear" w:pos="1814"/>
          <w:tab w:val="clear" w:pos="2381"/>
          <w:tab w:val="clear" w:pos="2948"/>
          <w:tab w:val="clear" w:pos="3515"/>
          <w:tab w:val="left" w:pos="624"/>
        </w:tabs>
        <w:snapToGrid w:val="0"/>
        <w:spacing w:after="120"/>
        <w:ind w:left="1247" w:firstLine="624"/>
        <w:rPr>
          <w:rFonts w:eastAsia="Calibri"/>
          <w:i/>
          <w:lang w:val="en-GB"/>
        </w:rPr>
      </w:pPr>
      <w:r w:rsidRPr="00EB270D">
        <w:rPr>
          <w:rFonts w:eastAsia="Calibri"/>
          <w:i/>
          <w:lang w:val="en-GB"/>
        </w:rPr>
        <w:t>The United Nations Environment Assembly,</w:t>
      </w:r>
    </w:p>
    <w:p w:rsidR="00F05722" w:rsidRPr="00EB270D" w:rsidRDefault="00F05722" w:rsidP="00F05722">
      <w:pPr>
        <w:pStyle w:val="NormalNonumber"/>
        <w:ind w:firstLine="624"/>
      </w:pPr>
      <w:r w:rsidRPr="00EB270D">
        <w:rPr>
          <w:i/>
          <w:iCs/>
        </w:rPr>
        <w:t xml:space="preserve">Concerned </w:t>
      </w:r>
      <w:r w:rsidRPr="00EB270D">
        <w:t xml:space="preserve">that roughly </w:t>
      </w:r>
      <w:r w:rsidRPr="00A179C2">
        <w:t>one third</w:t>
      </w:r>
      <w:r w:rsidRPr="00EB270D">
        <w:t xml:space="preserve"> of food produced globally for human consumption is wasted or lost, as is the vast quantity of scarce resources such as land, energy and water that are used to produce food that is later lost or wasted,</w:t>
      </w:r>
      <w:r w:rsidRPr="00EB270D">
        <w:rPr>
          <w:bCs/>
        </w:rPr>
        <w:t xml:space="preserve"> </w:t>
      </w:r>
    </w:p>
    <w:p w:rsidR="00F05722" w:rsidRPr="00EB270D" w:rsidRDefault="00F05722" w:rsidP="00F05722">
      <w:pPr>
        <w:pStyle w:val="NormalNonumber"/>
        <w:ind w:firstLine="624"/>
        <w:rPr>
          <w:rFonts w:eastAsia="Calibri"/>
        </w:rPr>
      </w:pPr>
      <w:r w:rsidRPr="00EB270D">
        <w:rPr>
          <w:rFonts w:eastAsia="Calibri"/>
          <w:i/>
        </w:rPr>
        <w:t xml:space="preserve">Recognizing </w:t>
      </w:r>
      <w:r w:rsidRPr="00EB270D">
        <w:rPr>
          <w:rFonts w:eastAsia="Calibri"/>
        </w:rPr>
        <w:t xml:space="preserve">the negative environmental, social and </w:t>
      </w:r>
      <w:r w:rsidRPr="00EB270D">
        <w:rPr>
          <w:rFonts w:eastAsia="Calibri"/>
          <w:bCs/>
        </w:rPr>
        <w:t xml:space="preserve">economic </w:t>
      </w:r>
      <w:r w:rsidRPr="00EB270D">
        <w:rPr>
          <w:rFonts w:eastAsia="Calibri"/>
        </w:rPr>
        <w:t xml:space="preserve">impact of food that is lost or wasted, including the vast quantities of scarce resources – such as land, energy, and water – that are used to produce </w:t>
      </w:r>
      <w:r w:rsidRPr="00EB270D">
        <w:rPr>
          <w:rFonts w:eastAsia="Calibri"/>
          <w:bCs/>
        </w:rPr>
        <w:t xml:space="preserve">and transport </w:t>
      </w:r>
      <w:r w:rsidRPr="00EB270D">
        <w:rPr>
          <w:rFonts w:eastAsia="Calibri"/>
        </w:rPr>
        <w:t xml:space="preserve">food that is later lost or wasted, and that food waste enters often </w:t>
      </w:r>
      <w:r>
        <w:rPr>
          <w:rFonts w:eastAsia="Calibri"/>
        </w:rPr>
        <w:br/>
      </w:r>
      <w:r w:rsidRPr="00EB270D">
        <w:rPr>
          <w:rFonts w:eastAsia="Calibri"/>
        </w:rPr>
        <w:t xml:space="preserve">over-burdened waste management systems, </w:t>
      </w:r>
    </w:p>
    <w:p w:rsidR="00F05722" w:rsidRPr="00EB270D" w:rsidRDefault="00F05722" w:rsidP="00F05722">
      <w:pPr>
        <w:pStyle w:val="NormalNonumber"/>
        <w:ind w:firstLine="624"/>
        <w:rPr>
          <w:bCs/>
        </w:rPr>
      </w:pPr>
      <w:r w:rsidRPr="00EB270D">
        <w:rPr>
          <w:bCs/>
          <w:i/>
        </w:rPr>
        <w:t>Recognizing also</w:t>
      </w:r>
      <w:r w:rsidRPr="00EB270D">
        <w:rPr>
          <w:bCs/>
        </w:rPr>
        <w:t xml:space="preserve"> the international community’s fundamental priority of achieving food security and nutrition and ending hunger caused inter alia by the adverse environmental effects of climate change and desertification, </w:t>
      </w:r>
    </w:p>
    <w:p w:rsidR="00F05722" w:rsidRPr="00EB270D" w:rsidRDefault="00F05722" w:rsidP="00F05722">
      <w:pPr>
        <w:pStyle w:val="NormalNonumber"/>
        <w:ind w:firstLine="624"/>
        <w:rPr>
          <w:bCs/>
        </w:rPr>
      </w:pPr>
      <w:r w:rsidRPr="00EB270D">
        <w:rPr>
          <w:bCs/>
          <w:i/>
        </w:rPr>
        <w:t>Recognizing further</w:t>
      </w:r>
      <w:r w:rsidRPr="00EB270D">
        <w:rPr>
          <w:bCs/>
        </w:rPr>
        <w:t xml:space="preserve"> that in developing countries food waste and losses occur mainly, but not exclusively, at early stages of the food value chain,</w:t>
      </w:r>
    </w:p>
    <w:p w:rsidR="00F05722" w:rsidRPr="00EB270D" w:rsidRDefault="00F05722" w:rsidP="00F05722">
      <w:pPr>
        <w:pStyle w:val="NormalNonumber"/>
        <w:ind w:firstLine="624"/>
        <w:rPr>
          <w:rFonts w:eastAsia="Calibri"/>
          <w:bCs/>
        </w:rPr>
      </w:pPr>
      <w:r w:rsidRPr="00EB270D">
        <w:rPr>
          <w:rFonts w:eastAsia="Calibri"/>
          <w:bCs/>
          <w:i/>
        </w:rPr>
        <w:t xml:space="preserve">Recognizing </w:t>
      </w:r>
      <w:r w:rsidRPr="00EB270D">
        <w:rPr>
          <w:rFonts w:eastAsia="Calibri"/>
          <w:bCs/>
        </w:rPr>
        <w:t xml:space="preserve">the waste management hierarchy, which addresses both organic and inorganic components of solid waste, and prioritizes in rank order prevention, minimization, reuse, recycling and other recovery, including energy recovery, and final disposal, </w:t>
      </w:r>
    </w:p>
    <w:p w:rsidR="00F05722" w:rsidRPr="00EB270D" w:rsidRDefault="00F05722" w:rsidP="00F05722">
      <w:pPr>
        <w:pStyle w:val="NormalNonumber"/>
        <w:ind w:firstLine="624"/>
        <w:rPr>
          <w:rFonts w:eastAsia="Calibri"/>
        </w:rPr>
      </w:pPr>
      <w:r w:rsidRPr="00EB270D">
        <w:rPr>
          <w:rFonts w:eastAsia="Calibri"/>
          <w:bCs/>
          <w:i/>
        </w:rPr>
        <w:t>Recognizing also</w:t>
      </w:r>
      <w:r w:rsidRPr="00EB270D">
        <w:rPr>
          <w:rFonts w:eastAsia="Calibri"/>
          <w:bCs/>
        </w:rPr>
        <w:t xml:space="preserve"> that effective management of food waste would prioritize source reduction to reduce volume by prevention and minimization of food lost and wasted, reuse of safe and nutritious food suitable for human consumption that otherwise might be wasted, recovery of lost and wasted food residues for animal feed, where safe to do so, and diversion of food loss and waste from landfill disposal to beneficial use in industry, including energy recovery,</w:t>
      </w:r>
    </w:p>
    <w:p w:rsidR="00F05722" w:rsidRPr="00EB270D" w:rsidRDefault="00F05722" w:rsidP="00F05722">
      <w:pPr>
        <w:pStyle w:val="NormalNonumber"/>
        <w:ind w:firstLine="624"/>
      </w:pPr>
      <w:r w:rsidRPr="00EB270D">
        <w:rPr>
          <w:i/>
        </w:rPr>
        <w:t xml:space="preserve">Recognizing further </w:t>
      </w:r>
      <w:r w:rsidRPr="00EB270D">
        <w:t xml:space="preserve">the </w:t>
      </w:r>
      <w:r w:rsidRPr="00EB270D">
        <w:rPr>
          <w:rFonts w:eastAsia="Calibri"/>
          <w:bCs/>
        </w:rPr>
        <w:t>role</w:t>
      </w:r>
      <w:r w:rsidRPr="00EB270D">
        <w:t xml:space="preserve"> that market-based incentives may play in reducing food loss and waste, taking into account differing national circumstances, </w:t>
      </w:r>
    </w:p>
    <w:p w:rsidR="00F05722" w:rsidRPr="00210308" w:rsidRDefault="00F05722" w:rsidP="00F05722">
      <w:pPr>
        <w:pStyle w:val="NormalNonumber"/>
        <w:ind w:firstLine="624"/>
        <w:rPr>
          <w:lang w:val="en-US"/>
        </w:rPr>
      </w:pPr>
      <w:r w:rsidRPr="00824D55">
        <w:rPr>
          <w:i/>
          <w:iCs/>
        </w:rPr>
        <w:t xml:space="preserve">Noting </w:t>
      </w:r>
      <w:r w:rsidRPr="00A179C2">
        <w:t>the particular</w:t>
      </w:r>
      <w:r w:rsidRPr="00824D55">
        <w:t xml:space="preserve"> roles and opportunities of relevant governmental institutions, including environment ministries</w:t>
      </w:r>
      <w:r>
        <w:t>,</w:t>
      </w:r>
      <w:r w:rsidRPr="00824D55">
        <w:t xml:space="preserve"> national institutions with environmental responsibilities, </w:t>
      </w:r>
      <w:r w:rsidRPr="00824D55">
        <w:rPr>
          <w:bCs/>
        </w:rPr>
        <w:t xml:space="preserve">international organizations, agricultural ministries and other relevant ministries </w:t>
      </w:r>
      <w:r w:rsidRPr="00824D55">
        <w:t>and their partners</w:t>
      </w:r>
      <w:r w:rsidRPr="00824D55">
        <w:rPr>
          <w:bCs/>
        </w:rPr>
        <w:t xml:space="preserve"> with responsibility for food security</w:t>
      </w:r>
      <w:r w:rsidRPr="00824D55">
        <w:t xml:space="preserve">, </w:t>
      </w:r>
      <w:r>
        <w:t>in</w:t>
      </w:r>
      <w:r w:rsidRPr="00824D55">
        <w:t xml:space="preserve"> contribut</w:t>
      </w:r>
      <w:r>
        <w:t>ing</w:t>
      </w:r>
      <w:r w:rsidRPr="00824D55">
        <w:t xml:space="preserve"> to solving food loss and waste problems, with their particular orientation towards addressing </w:t>
      </w:r>
      <w:r w:rsidRPr="00824D55">
        <w:rPr>
          <w:bCs/>
        </w:rPr>
        <w:t>socioeconomic,</w:t>
      </w:r>
      <w:r w:rsidRPr="00824D55">
        <w:rPr>
          <w:b/>
        </w:rPr>
        <w:t xml:space="preserve"> </w:t>
      </w:r>
      <w:r w:rsidRPr="00824D55">
        <w:t>environmental and public health problems, while promoting sustainable-development-oriented solutions and opportunities</w:t>
      </w:r>
      <w:r>
        <w:t>,</w:t>
      </w:r>
      <w:r w:rsidRPr="00824D55">
        <w:t xml:space="preserve"> </w:t>
      </w:r>
      <w:r w:rsidRPr="00210308">
        <w:rPr>
          <w:lang w:val="en-US"/>
        </w:rPr>
        <w:t xml:space="preserve"> </w:t>
      </w:r>
    </w:p>
    <w:p w:rsidR="00F05722" w:rsidRPr="001E3350" w:rsidRDefault="00F05722" w:rsidP="00F05722">
      <w:pPr>
        <w:pStyle w:val="NormalNonumber"/>
        <w:ind w:firstLine="624"/>
      </w:pPr>
      <w:r w:rsidRPr="001E3350">
        <w:rPr>
          <w:i/>
          <w:iCs/>
        </w:rPr>
        <w:t xml:space="preserve">Recognizing with appreciation </w:t>
      </w:r>
      <w:r w:rsidRPr="001E3350">
        <w:t xml:space="preserve">the work of the United Nations Environment Programme to raise awareness of this important matter through </w:t>
      </w:r>
      <w:r w:rsidRPr="001E3350">
        <w:rPr>
          <w:bCs/>
        </w:rPr>
        <w:t xml:space="preserve">the joint </w:t>
      </w:r>
      <w:r w:rsidRPr="0046086A">
        <w:rPr>
          <w:bCs/>
        </w:rPr>
        <w:t>“</w:t>
      </w:r>
      <w:proofErr w:type="spellStart"/>
      <w:r w:rsidRPr="001E3350">
        <w:t>Think.Eat.Save</w:t>
      </w:r>
      <w:proofErr w:type="spellEnd"/>
      <w:r w:rsidRPr="001E3350">
        <w:t>” initiative of the United</w:t>
      </w:r>
      <w:r>
        <w:t> </w:t>
      </w:r>
      <w:r w:rsidRPr="001E3350">
        <w:t xml:space="preserve">Nations Environment Programme and the Food and Agriculture Organization of the </w:t>
      </w:r>
      <w:r w:rsidRPr="001E3350">
        <w:lastRenderedPageBreak/>
        <w:t>United Nations, as well as the recent launch of the Sustainable Food Systems Programme under the 10-Year Framework of Programmes on Sustainable Consumption and Production</w:t>
      </w:r>
      <w:r>
        <w:t xml:space="preserve"> Patterns</w:t>
      </w:r>
      <w:r w:rsidRPr="001E3350">
        <w:rPr>
          <w:bCs/>
        </w:rPr>
        <w:t>, which was developed through a strategic partnership between the</w:t>
      </w:r>
      <w:r w:rsidRPr="001E3350">
        <w:rPr>
          <w:b/>
          <w:bCs/>
        </w:rPr>
        <w:t xml:space="preserve"> </w:t>
      </w:r>
      <w:r w:rsidRPr="001E3350">
        <w:t>United Nations Environment Programme and the Food and Agricultur</w:t>
      </w:r>
      <w:r>
        <w:t>e</w:t>
      </w:r>
      <w:r w:rsidRPr="001E3350">
        <w:t xml:space="preserve"> Organization, </w:t>
      </w:r>
    </w:p>
    <w:p w:rsidR="00F05722" w:rsidRPr="001E3350" w:rsidRDefault="00F05722" w:rsidP="00F05722">
      <w:pPr>
        <w:pStyle w:val="NormalNonumber"/>
        <w:ind w:firstLine="624"/>
      </w:pPr>
      <w:r w:rsidRPr="001E3350">
        <w:rPr>
          <w:i/>
          <w:iCs/>
        </w:rPr>
        <w:t xml:space="preserve">Welcoming </w:t>
      </w:r>
      <w:r w:rsidRPr="001E3350">
        <w:rPr>
          <w:iCs/>
        </w:rPr>
        <w:t xml:space="preserve">the 2030 Agenda for Sustainable Development, </w:t>
      </w:r>
      <w:r w:rsidRPr="001E3350">
        <w:t xml:space="preserve">which includes, inter alia, Sustainable Development Goal target 12.3 to </w:t>
      </w:r>
      <w:r w:rsidRPr="001E3350">
        <w:rPr>
          <w:bCs/>
        </w:rPr>
        <w:t xml:space="preserve">halve per capita global food waste at the retail and consumer levels by 2030 and </w:t>
      </w:r>
      <w:r w:rsidRPr="001E3350">
        <w:t>reduce food loss</w:t>
      </w:r>
      <w:r w:rsidRPr="001E3350">
        <w:rPr>
          <w:bCs/>
        </w:rPr>
        <w:t xml:space="preserve">es along production and supply chains, including </w:t>
      </w:r>
      <w:r>
        <w:rPr>
          <w:bCs/>
        </w:rPr>
        <w:br/>
      </w:r>
      <w:r w:rsidRPr="001E3350">
        <w:rPr>
          <w:bCs/>
        </w:rPr>
        <w:t>post-harvest losses,</w:t>
      </w:r>
      <w:r w:rsidRPr="001E3350">
        <w:rPr>
          <w:b/>
          <w:bCs/>
        </w:rPr>
        <w:t xml:space="preserve"> </w:t>
      </w:r>
      <w:r w:rsidRPr="001E3350">
        <w:t xml:space="preserve">and recognizing the positive impact that target 12.3 can have on the achievement of </w:t>
      </w:r>
      <w:r w:rsidRPr="001E3350">
        <w:rPr>
          <w:bCs/>
        </w:rPr>
        <w:t xml:space="preserve">other Sustainable Development Goals, particularly </w:t>
      </w:r>
      <w:r w:rsidRPr="001E3350">
        <w:t>Goal 2,</w:t>
      </w:r>
      <w:r w:rsidRPr="001E3350">
        <w:rPr>
          <w:b/>
        </w:rPr>
        <w:t xml:space="preserve"> </w:t>
      </w:r>
    </w:p>
    <w:p w:rsidR="00F05722" w:rsidRPr="001E3350" w:rsidRDefault="00F05722" w:rsidP="00F05722">
      <w:pPr>
        <w:pStyle w:val="Normalnumber"/>
        <w:ind w:firstLine="624"/>
      </w:pPr>
      <w:r w:rsidRPr="001E3350">
        <w:rPr>
          <w:i/>
          <w:iCs/>
        </w:rPr>
        <w:t>Invites</w:t>
      </w:r>
      <w:r w:rsidRPr="001E3350">
        <w:rPr>
          <w:b/>
          <w:bCs/>
          <w:i/>
          <w:iCs/>
        </w:rPr>
        <w:t xml:space="preserve"> </w:t>
      </w:r>
      <w:r w:rsidRPr="001E3350">
        <w:t>Governments, taking into account differing national circumstances:</w:t>
      </w:r>
    </w:p>
    <w:p w:rsidR="00F05722" w:rsidRPr="001E3350" w:rsidRDefault="00F05722" w:rsidP="00F05722">
      <w:pPr>
        <w:pStyle w:val="Normal-pool"/>
        <w:numPr>
          <w:ilvl w:val="0"/>
          <w:numId w:val="19"/>
        </w:numPr>
        <w:tabs>
          <w:tab w:val="clear" w:pos="1247"/>
          <w:tab w:val="clear" w:pos="1814"/>
          <w:tab w:val="clear" w:pos="2381"/>
          <w:tab w:val="clear" w:pos="2948"/>
          <w:tab w:val="clear" w:pos="3515"/>
          <w:tab w:val="clear" w:pos="4082"/>
          <w:tab w:val="left" w:pos="624"/>
        </w:tabs>
        <w:spacing w:after="120"/>
        <w:ind w:left="1247" w:firstLine="624"/>
      </w:pPr>
      <w:r w:rsidRPr="001E3350">
        <w:t xml:space="preserve">To implement </w:t>
      </w:r>
      <w:r w:rsidRPr="00A179C2">
        <w:t>programmes including</w:t>
      </w:r>
      <w:r w:rsidRPr="001E3350">
        <w:t>, when appropriate,</w:t>
      </w:r>
      <w:r w:rsidRPr="001E3350">
        <w:rPr>
          <w:bCs/>
        </w:rPr>
        <w:t xml:space="preserve"> market-based</w:t>
      </w:r>
      <w:r w:rsidRPr="001E3350">
        <w:rPr>
          <w:b/>
          <w:bCs/>
        </w:rPr>
        <w:t xml:space="preserve"> </w:t>
      </w:r>
      <w:r w:rsidRPr="001E3350">
        <w:rPr>
          <w:bCs/>
        </w:rPr>
        <w:t>incentives</w:t>
      </w:r>
      <w:r w:rsidRPr="001E3350">
        <w:rPr>
          <w:b/>
          <w:bCs/>
        </w:rPr>
        <w:t xml:space="preserve"> </w:t>
      </w:r>
      <w:r w:rsidRPr="001E3350">
        <w:t xml:space="preserve">that reduce the amount of food </w:t>
      </w:r>
      <w:r w:rsidRPr="001E3350">
        <w:rPr>
          <w:bCs/>
        </w:rPr>
        <w:t>lost and</w:t>
      </w:r>
      <w:r w:rsidRPr="001E3350">
        <w:rPr>
          <w:b/>
        </w:rPr>
        <w:t xml:space="preserve"> </w:t>
      </w:r>
      <w:r w:rsidRPr="001E3350">
        <w:t>wasted, and to promote at all stages of the food value chain</w:t>
      </w:r>
      <w:r w:rsidRPr="001E3350">
        <w:rPr>
          <w:b/>
          <w:bCs/>
        </w:rPr>
        <w:t xml:space="preserve"> </w:t>
      </w:r>
      <w:r w:rsidRPr="001E3350">
        <w:t>reuse of edible food that might otherwise be wasted in order to increase the amount of nutritious and healthy food available for human consumption, especially to the most food- and nutritionally</w:t>
      </w:r>
      <w:r w:rsidRPr="001E3350">
        <w:rPr>
          <w:b/>
        </w:rPr>
        <w:t xml:space="preserve"> </w:t>
      </w:r>
      <w:r w:rsidRPr="001E3350">
        <w:t>insecure populations, and to reduce the amount of usable food that is disposed of as waste;</w:t>
      </w:r>
    </w:p>
    <w:p w:rsidR="00F05722" w:rsidRPr="001E3350" w:rsidRDefault="00F05722" w:rsidP="00F05722">
      <w:pPr>
        <w:pStyle w:val="Normal-pool"/>
        <w:numPr>
          <w:ilvl w:val="0"/>
          <w:numId w:val="19"/>
        </w:numPr>
        <w:tabs>
          <w:tab w:val="clear" w:pos="1247"/>
          <w:tab w:val="clear" w:pos="1814"/>
          <w:tab w:val="clear" w:pos="2381"/>
          <w:tab w:val="clear" w:pos="2948"/>
          <w:tab w:val="clear" w:pos="3515"/>
          <w:tab w:val="clear" w:pos="4082"/>
          <w:tab w:val="left" w:pos="624"/>
        </w:tabs>
        <w:spacing w:after="120"/>
        <w:ind w:left="1247" w:firstLine="624"/>
      </w:pPr>
      <w:r w:rsidRPr="001E3350">
        <w:t xml:space="preserve">To work cooperatively with </w:t>
      </w:r>
      <w:r w:rsidRPr="00195B4D">
        <w:rPr>
          <w:bCs/>
        </w:rPr>
        <w:t>international organizations</w:t>
      </w:r>
      <w:r w:rsidRPr="001E3350">
        <w:rPr>
          <w:bCs/>
        </w:rPr>
        <w:t xml:space="preserve"> and institutions,</w:t>
      </w:r>
      <w:r w:rsidRPr="001E3350">
        <w:t xml:space="preserve"> the private sector, non-governmental organizations and other interested stakeholders to develop programmes to prevent and reduce food loss and waste along the whole food value chain</w:t>
      </w:r>
      <w:r w:rsidRPr="001E3350">
        <w:rPr>
          <w:b/>
          <w:bCs/>
        </w:rPr>
        <w:t xml:space="preserve"> </w:t>
      </w:r>
      <w:r w:rsidRPr="001E3350">
        <w:t>and promote the environmentally sound management of food loss and</w:t>
      </w:r>
      <w:r w:rsidRPr="001E3350">
        <w:rPr>
          <w:b/>
        </w:rPr>
        <w:t xml:space="preserve"> </w:t>
      </w:r>
      <w:r w:rsidRPr="001E3350">
        <w:t xml:space="preserve">waste, including the inedible parts of food, for uses such as animal feed, </w:t>
      </w:r>
      <w:r w:rsidRPr="001E3350">
        <w:rPr>
          <w:bCs/>
        </w:rPr>
        <w:t xml:space="preserve">where safe to do so, </w:t>
      </w:r>
      <w:r w:rsidRPr="001E3350">
        <w:t>and subject to prevailing health regulations, industrial applications, composting and energy production, while respecting the waste management hierarchy;</w:t>
      </w:r>
    </w:p>
    <w:p w:rsidR="00F05722" w:rsidRPr="001E3350" w:rsidRDefault="00F05722" w:rsidP="00F05722">
      <w:pPr>
        <w:pStyle w:val="Normal-pool"/>
        <w:numPr>
          <w:ilvl w:val="0"/>
          <w:numId w:val="19"/>
        </w:numPr>
        <w:tabs>
          <w:tab w:val="clear" w:pos="1247"/>
          <w:tab w:val="clear" w:pos="1814"/>
          <w:tab w:val="clear" w:pos="2381"/>
          <w:tab w:val="clear" w:pos="2948"/>
          <w:tab w:val="clear" w:pos="3515"/>
          <w:tab w:val="clear" w:pos="4082"/>
          <w:tab w:val="left" w:pos="624"/>
        </w:tabs>
        <w:spacing w:after="120"/>
        <w:ind w:left="1247" w:firstLine="624"/>
      </w:pPr>
      <w:r w:rsidRPr="001E3350">
        <w:t>To participate in existing international efforts regarding improved methodologies to better measure food loss and waste generation</w:t>
      </w:r>
      <w:r w:rsidRPr="001E3350">
        <w:rPr>
          <w:b/>
          <w:bCs/>
        </w:rPr>
        <w:t xml:space="preserve"> </w:t>
      </w:r>
      <w:r w:rsidRPr="001E3350">
        <w:t>and the</w:t>
      </w:r>
      <w:r w:rsidRPr="001E3350">
        <w:rPr>
          <w:b/>
        </w:rPr>
        <w:t xml:space="preserve"> </w:t>
      </w:r>
      <w:r w:rsidRPr="001E3350">
        <w:rPr>
          <w:bCs/>
        </w:rPr>
        <w:t>socioeconomic and</w:t>
      </w:r>
      <w:r w:rsidRPr="001E3350">
        <w:rPr>
          <w:b/>
        </w:rPr>
        <w:t xml:space="preserve"> </w:t>
      </w:r>
      <w:r w:rsidRPr="001E3350">
        <w:t>environmental benefits</w:t>
      </w:r>
      <w:r w:rsidRPr="001E3350">
        <w:rPr>
          <w:b/>
        </w:rPr>
        <w:t xml:space="preserve"> </w:t>
      </w:r>
      <w:r w:rsidRPr="001E3350">
        <w:rPr>
          <w:bCs/>
        </w:rPr>
        <w:t>of achieving efficient and sustainable food systems</w:t>
      </w:r>
      <w:r w:rsidRPr="001E3350">
        <w:t>;</w:t>
      </w:r>
    </w:p>
    <w:p w:rsidR="00F05722" w:rsidRPr="00157FCA" w:rsidRDefault="00F05722" w:rsidP="00F05722">
      <w:pPr>
        <w:pStyle w:val="Normal-pool"/>
        <w:tabs>
          <w:tab w:val="clear" w:pos="1247"/>
          <w:tab w:val="clear" w:pos="1814"/>
          <w:tab w:val="clear" w:pos="2381"/>
          <w:tab w:val="clear" w:pos="2948"/>
          <w:tab w:val="clear" w:pos="3515"/>
          <w:tab w:val="clear" w:pos="4082"/>
          <w:tab w:val="left" w:pos="624"/>
        </w:tabs>
        <w:spacing w:after="120"/>
        <w:ind w:left="1247" w:firstLine="624"/>
      </w:pPr>
      <w:r w:rsidRPr="001E3350">
        <w:rPr>
          <w:bCs/>
        </w:rPr>
        <w:t>(d)</w:t>
      </w:r>
      <w:r w:rsidRPr="001E3350">
        <w:rPr>
          <w:bCs/>
        </w:rPr>
        <w:tab/>
        <w:t xml:space="preserve">To engage in international cooperation with the objective of reducing and/or eradicating food loss </w:t>
      </w:r>
      <w:r w:rsidRPr="007B10BC">
        <w:rPr>
          <w:bCs/>
        </w:rPr>
        <w:t>resulting from contamination at the production stage by sharing technical knowledge and good practices that have proven to be effective in this regard and that contribute to the sustainable use of natural resources;</w:t>
      </w:r>
      <w:r w:rsidRPr="007B10BC">
        <w:rPr>
          <w:b/>
        </w:rPr>
        <w:t xml:space="preserve"> </w:t>
      </w:r>
    </w:p>
    <w:p w:rsidR="00F05722" w:rsidRPr="00157FCA" w:rsidRDefault="00F05722" w:rsidP="00F05722">
      <w:pPr>
        <w:pStyle w:val="Normalnumber"/>
        <w:ind w:firstLine="624"/>
      </w:pPr>
      <w:r w:rsidRPr="007B10BC">
        <w:rPr>
          <w:i/>
          <w:iCs/>
        </w:rPr>
        <w:t xml:space="preserve">Requests </w:t>
      </w:r>
      <w:r w:rsidRPr="007B10BC">
        <w:t xml:space="preserve">the Executive Director to, within available resources and in cooperation with the Food and </w:t>
      </w:r>
      <w:r w:rsidRPr="00F05722">
        <w:rPr>
          <w:rStyle w:val="NormalnumberChar"/>
        </w:rPr>
        <w:t>Agriculture</w:t>
      </w:r>
      <w:r w:rsidRPr="007B10BC">
        <w:t xml:space="preserve"> Organization of the United Nations and other relevant international organizations:</w:t>
      </w:r>
    </w:p>
    <w:p w:rsidR="00F05722" w:rsidRPr="001E3350" w:rsidRDefault="00F05722" w:rsidP="00F05722">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pPr>
      <w:r w:rsidRPr="007B10BC">
        <w:t>Support the development of multi-stakeholder initiatives that focus on food waste reduction and prevention</w:t>
      </w:r>
      <w:r w:rsidRPr="007B10BC">
        <w:rPr>
          <w:b/>
        </w:rPr>
        <w:t xml:space="preserve"> </w:t>
      </w:r>
      <w:r w:rsidRPr="007B10BC">
        <w:rPr>
          <w:bCs/>
        </w:rPr>
        <w:t>along the</w:t>
      </w:r>
      <w:r w:rsidRPr="001E3350">
        <w:rPr>
          <w:bCs/>
        </w:rPr>
        <w:t xml:space="preserve"> whole food value chain, including contamination at the production stage,</w:t>
      </w:r>
      <w:r w:rsidRPr="001E3350">
        <w:rPr>
          <w:b/>
        </w:rPr>
        <w:t xml:space="preserve"> </w:t>
      </w:r>
      <w:r w:rsidRPr="001E3350">
        <w:t xml:space="preserve">food reuse, and diversion of food </w:t>
      </w:r>
      <w:r w:rsidRPr="001E3350">
        <w:rPr>
          <w:bCs/>
        </w:rPr>
        <w:t>loss and</w:t>
      </w:r>
      <w:r w:rsidRPr="001E3350">
        <w:rPr>
          <w:b/>
        </w:rPr>
        <w:t xml:space="preserve"> </w:t>
      </w:r>
      <w:r w:rsidRPr="001E3350">
        <w:t xml:space="preserve">waste from landfill disposal to other productive uses, making full use of existing partnership programmes related to food waste, and collaborate with other international organizations and institutions – for example, through the </w:t>
      </w:r>
      <w:r w:rsidRPr="001E3350">
        <w:rPr>
          <w:b/>
          <w:bCs/>
        </w:rPr>
        <w:t>“</w:t>
      </w:r>
      <w:proofErr w:type="spellStart"/>
      <w:r w:rsidRPr="001E3350">
        <w:t>Think.Eat.Save</w:t>
      </w:r>
      <w:proofErr w:type="spellEnd"/>
      <w:r w:rsidRPr="001E3350">
        <w:t xml:space="preserve">” initiative – as well as with the private sector, non-governmental organizations and other interested stakeholders such as those involved in the recently launched </w:t>
      </w:r>
      <w:r w:rsidRPr="00171F71">
        <w:t xml:space="preserve">Sustainable Food Systems Programme </w:t>
      </w:r>
      <w:r>
        <w:t xml:space="preserve"> of the</w:t>
      </w:r>
      <w:r w:rsidRPr="00171F71">
        <w:t>10-Year Framework of Programmes on Sustainable Consumption and Production</w:t>
      </w:r>
      <w:r>
        <w:t xml:space="preserve"> Patterns</w:t>
      </w:r>
      <w:r w:rsidRPr="001E3350">
        <w:t xml:space="preserve">; </w:t>
      </w:r>
    </w:p>
    <w:p w:rsidR="00F05722" w:rsidRPr="001E3350" w:rsidRDefault="00F05722" w:rsidP="00F05722">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pPr>
      <w:r>
        <w:t>E</w:t>
      </w:r>
      <w:r w:rsidRPr="001E3350">
        <w:t xml:space="preserve">nhance cooperation </w:t>
      </w:r>
      <w:r w:rsidRPr="00DA012F">
        <w:t>between the United</w:t>
      </w:r>
      <w:r w:rsidRPr="001E3350">
        <w:t xml:space="preserve"> Nations Environment Programme and other relevant United Nations agencies, with the purpose of supporting communities of practice that focus on food loss and waste reduction; </w:t>
      </w:r>
    </w:p>
    <w:p w:rsidR="00F05722" w:rsidRPr="001E3350" w:rsidRDefault="00F05722" w:rsidP="00F05722">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pPr>
      <w:r w:rsidRPr="001E3350">
        <w:rPr>
          <w:bCs/>
        </w:rPr>
        <w:t>Continue to</w:t>
      </w:r>
      <w:r w:rsidRPr="001E3350">
        <w:t xml:space="preserve"> </w:t>
      </w:r>
      <w:r w:rsidRPr="001E3350">
        <w:rPr>
          <w:bCs/>
        </w:rPr>
        <w:t>p</w:t>
      </w:r>
      <w:r w:rsidRPr="001E3350">
        <w:t>articipate</w:t>
      </w:r>
      <w:r w:rsidRPr="001E3350">
        <w:rPr>
          <w:b/>
          <w:bCs/>
        </w:rPr>
        <w:t xml:space="preserve"> </w:t>
      </w:r>
      <w:r w:rsidRPr="001E3350">
        <w:t xml:space="preserve">in </w:t>
      </w:r>
      <w:proofErr w:type="spellStart"/>
      <w:r w:rsidRPr="001E3350">
        <w:t>ongoing</w:t>
      </w:r>
      <w:proofErr w:type="spellEnd"/>
      <w:r w:rsidRPr="001E3350">
        <w:t xml:space="preserve"> international initiatives to improve the measurement of food </w:t>
      </w:r>
      <w:r w:rsidRPr="001E3350">
        <w:rPr>
          <w:bCs/>
        </w:rPr>
        <w:t>loss and</w:t>
      </w:r>
      <w:r w:rsidRPr="001E3350">
        <w:rPr>
          <w:b/>
        </w:rPr>
        <w:t xml:space="preserve"> </w:t>
      </w:r>
      <w:r w:rsidRPr="001E3350">
        <w:t>waste</w:t>
      </w:r>
      <w:r w:rsidRPr="001E3350">
        <w:rPr>
          <w:b/>
        </w:rPr>
        <w:t xml:space="preserve">, </w:t>
      </w:r>
      <w:r w:rsidRPr="001E3350">
        <w:rPr>
          <w:bCs/>
        </w:rPr>
        <w:t>including those aimed at quantifying</w:t>
      </w:r>
      <w:r w:rsidRPr="001E3350">
        <w:rPr>
          <w:b/>
        </w:rPr>
        <w:t xml:space="preserve"> </w:t>
      </w:r>
      <w:r w:rsidRPr="001E3350">
        <w:t xml:space="preserve">the </w:t>
      </w:r>
      <w:r w:rsidRPr="001E3350">
        <w:rPr>
          <w:bCs/>
        </w:rPr>
        <w:t>socioeconomic and</w:t>
      </w:r>
      <w:r w:rsidRPr="001E3350">
        <w:rPr>
          <w:b/>
        </w:rPr>
        <w:t xml:space="preserve"> </w:t>
      </w:r>
      <w:r w:rsidRPr="001E3350">
        <w:t xml:space="preserve">environmental benefits; </w:t>
      </w:r>
    </w:p>
    <w:p w:rsidR="00F05722" w:rsidRDefault="00F05722" w:rsidP="00F05722">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pPr>
      <w:r w:rsidRPr="001E3350">
        <w:t>Strengthen efforts, such as those being made by the International Environmental Technology Centre, to disseminate information on waste management in forums such as the</w:t>
      </w:r>
      <w:r>
        <w:t xml:space="preserve"> </w:t>
      </w:r>
      <w:r w:rsidRPr="007B10BC">
        <w:t xml:space="preserve">Sustainable Food Systems Programme </w:t>
      </w:r>
      <w:r>
        <w:t xml:space="preserve">of the </w:t>
      </w:r>
      <w:r w:rsidRPr="007B10BC">
        <w:t>10-Year Framework of Programmes on Sustainable Consumption and Production Patterns, including</w:t>
      </w:r>
      <w:r w:rsidRPr="001E3350">
        <w:t xml:space="preserve"> information on the technologies available to prevent food loss and enable the reuse</w:t>
      </w:r>
      <w:r w:rsidRPr="001E3350">
        <w:rPr>
          <w:b/>
          <w:bCs/>
        </w:rPr>
        <w:t xml:space="preserve"> </w:t>
      </w:r>
      <w:r w:rsidRPr="001E3350">
        <w:t xml:space="preserve">of food waste as a productive economic resource, and explore opportunities to collaborate with the United Nations Industrial Development Organization to expand use of the products of food </w:t>
      </w:r>
      <w:r w:rsidRPr="001E3350">
        <w:rPr>
          <w:bCs/>
        </w:rPr>
        <w:t>loss and</w:t>
      </w:r>
      <w:r w:rsidRPr="001E3350">
        <w:rPr>
          <w:b/>
        </w:rPr>
        <w:t xml:space="preserve"> </w:t>
      </w:r>
      <w:r w:rsidRPr="001E3350">
        <w:t xml:space="preserve">waste as feedstock for biogas generation and composting; </w:t>
      </w:r>
    </w:p>
    <w:p w:rsidR="00F05722" w:rsidRPr="00445641" w:rsidRDefault="00F05722" w:rsidP="00F05722">
      <w:pPr>
        <w:pStyle w:val="Normal-pool"/>
        <w:keepNext/>
        <w:keepLines/>
        <w:numPr>
          <w:ilvl w:val="0"/>
          <w:numId w:val="20"/>
        </w:numPr>
        <w:tabs>
          <w:tab w:val="clear" w:pos="1247"/>
          <w:tab w:val="clear" w:pos="1814"/>
          <w:tab w:val="clear" w:pos="2381"/>
          <w:tab w:val="clear" w:pos="2948"/>
          <w:tab w:val="clear" w:pos="3515"/>
          <w:tab w:val="clear" w:pos="4082"/>
          <w:tab w:val="left" w:pos="624"/>
        </w:tabs>
        <w:spacing w:after="120"/>
        <w:ind w:left="1247" w:firstLine="624"/>
      </w:pPr>
      <w:r w:rsidRPr="001E3350">
        <w:lastRenderedPageBreak/>
        <w:t xml:space="preserve">Continue to raise awareness of the environmental dimensions of the problem of food waste, and of potential solutions </w:t>
      </w:r>
      <w:r w:rsidRPr="00445641">
        <w:rPr>
          <w:bCs/>
        </w:rPr>
        <w:t>and good practices</w:t>
      </w:r>
      <w:r w:rsidRPr="00445641">
        <w:rPr>
          <w:b/>
          <w:bCs/>
        </w:rPr>
        <w:t xml:space="preserve"> </w:t>
      </w:r>
      <w:r w:rsidRPr="001E3350">
        <w:t>for preventing and reducing food</w:t>
      </w:r>
      <w:r w:rsidRPr="00445641">
        <w:rPr>
          <w:b/>
          <w:bCs/>
        </w:rPr>
        <w:t xml:space="preserve"> </w:t>
      </w:r>
      <w:r w:rsidRPr="001E3350">
        <w:t>waste</w:t>
      </w:r>
      <w:r>
        <w:t xml:space="preserve"> and</w:t>
      </w:r>
      <w:r w:rsidRPr="001E3350">
        <w:t xml:space="preserve"> promoting food </w:t>
      </w:r>
      <w:r w:rsidRPr="00445641">
        <w:rPr>
          <w:bCs/>
        </w:rPr>
        <w:t>reuse</w:t>
      </w:r>
      <w:r w:rsidRPr="001E3350">
        <w:t xml:space="preserve"> and </w:t>
      </w:r>
      <w:r w:rsidRPr="00445641">
        <w:rPr>
          <w:bCs/>
        </w:rPr>
        <w:t>environmentally sound management of</w:t>
      </w:r>
      <w:r w:rsidRPr="00445641">
        <w:rPr>
          <w:b/>
        </w:rPr>
        <w:t xml:space="preserve"> </w:t>
      </w:r>
      <w:r w:rsidRPr="001E3350">
        <w:t>food waste</w:t>
      </w:r>
      <w:r w:rsidRPr="00445641">
        <w:rPr>
          <w:b/>
        </w:rPr>
        <w:t>,</w:t>
      </w:r>
      <w:r w:rsidRPr="001E3350">
        <w:t xml:space="preserve"> and to identify regional and </w:t>
      </w:r>
      <w:proofErr w:type="spellStart"/>
      <w:r w:rsidRPr="001E3350">
        <w:t>subregional</w:t>
      </w:r>
      <w:proofErr w:type="spellEnd"/>
      <w:r w:rsidRPr="001E3350">
        <w:t xml:space="preserve"> hubs of expertise, including by engaging the regional offices of the United Nations Environment Programme to advance these objectives;</w:t>
      </w:r>
    </w:p>
    <w:p w:rsidR="00BC773A" w:rsidRPr="00BC773A" w:rsidRDefault="00F05722" w:rsidP="00F05722">
      <w:pPr>
        <w:pStyle w:val="Normal-pool"/>
        <w:numPr>
          <w:ilvl w:val="0"/>
          <w:numId w:val="20"/>
        </w:numPr>
        <w:tabs>
          <w:tab w:val="clear" w:pos="1247"/>
          <w:tab w:val="clear" w:pos="1814"/>
          <w:tab w:val="clear" w:pos="2381"/>
          <w:tab w:val="clear" w:pos="2948"/>
          <w:tab w:val="clear" w:pos="3515"/>
          <w:tab w:val="clear" w:pos="4082"/>
          <w:tab w:val="left" w:pos="624"/>
        </w:tabs>
        <w:spacing w:after="120"/>
        <w:ind w:left="1247" w:firstLine="624"/>
      </w:pPr>
      <w:r w:rsidRPr="001E3350">
        <w:t xml:space="preserve">Report to the United Nations Environment Assembly at its next session on progress made in implementing the relevant provisions of the present </w:t>
      </w:r>
      <w:r w:rsidRPr="007B10BC">
        <w:t>resolution</w:t>
      </w:r>
      <w:r w:rsidR="00936879" w:rsidRPr="001E3350">
        <w:t>.</w:t>
      </w:r>
    </w:p>
    <w:p w:rsidR="006727DC" w:rsidRPr="006727DC" w:rsidRDefault="006727DC" w:rsidP="00A43A4D">
      <w:pPr>
        <w:pStyle w:val="Normal-pool"/>
        <w:jc w:val="right"/>
        <w:rPr>
          <w:i/>
        </w:rPr>
      </w:pPr>
      <w:r w:rsidRPr="006727DC">
        <w:rPr>
          <w:i/>
        </w:rPr>
        <w:t>6th plenary meeting</w:t>
      </w:r>
    </w:p>
    <w:p w:rsidR="006727DC" w:rsidRPr="006727DC" w:rsidRDefault="006727DC" w:rsidP="00A43A4D">
      <w:pPr>
        <w:pStyle w:val="Normal-pool"/>
        <w:spacing w:after="120"/>
        <w:jc w:val="right"/>
        <w:rPr>
          <w:i/>
        </w:rPr>
      </w:pPr>
      <w:r w:rsidRPr="006727DC">
        <w:rPr>
          <w:i/>
        </w:rPr>
        <w:t>27 May 2016</w:t>
      </w:r>
    </w:p>
    <w:tbl>
      <w:tblPr>
        <w:tblStyle w:val="Tabledocright"/>
        <w:tblW w:w="9610" w:type="dxa"/>
        <w:tblInd w:w="4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0"/>
        <w:gridCol w:w="1920"/>
        <w:gridCol w:w="1928"/>
        <w:gridCol w:w="1921"/>
      </w:tblGrid>
      <w:tr w:rsidR="00CA20BB" w:rsidRPr="00FE2AD9" w:rsidTr="00444D8F">
        <w:tc>
          <w:tcPr>
            <w:tcW w:w="1921" w:type="dxa"/>
          </w:tcPr>
          <w:p w:rsidR="00CA20BB" w:rsidRDefault="00CA20BB" w:rsidP="00F05722">
            <w:pPr>
              <w:pStyle w:val="Normal-pool"/>
              <w:spacing w:before="520"/>
            </w:pPr>
          </w:p>
        </w:tc>
        <w:tc>
          <w:tcPr>
            <w:tcW w:w="1920" w:type="dxa"/>
          </w:tcPr>
          <w:p w:rsidR="00CA20BB" w:rsidRDefault="00CA20BB" w:rsidP="00F05722">
            <w:pPr>
              <w:pStyle w:val="Normal-pool"/>
              <w:spacing w:before="520"/>
            </w:pPr>
          </w:p>
        </w:tc>
        <w:tc>
          <w:tcPr>
            <w:tcW w:w="1920" w:type="dxa"/>
            <w:tcBorders>
              <w:bottom w:val="single" w:sz="4" w:space="0" w:color="auto"/>
            </w:tcBorders>
          </w:tcPr>
          <w:p w:rsidR="00CA20BB" w:rsidRDefault="00CA20BB" w:rsidP="00F05722">
            <w:pPr>
              <w:pStyle w:val="Normal-pool"/>
              <w:spacing w:before="520"/>
            </w:pPr>
          </w:p>
        </w:tc>
        <w:tc>
          <w:tcPr>
            <w:tcW w:w="1928" w:type="dxa"/>
          </w:tcPr>
          <w:p w:rsidR="00C14100" w:rsidRPr="00444D8F" w:rsidRDefault="00C14100" w:rsidP="00F05722">
            <w:pPr>
              <w:spacing w:before="520"/>
              <w:jc w:val="right"/>
              <w:rPr>
                <w:i/>
                <w:highlight w:val="cyan"/>
              </w:rPr>
            </w:pPr>
          </w:p>
        </w:tc>
        <w:tc>
          <w:tcPr>
            <w:tcW w:w="1921" w:type="dxa"/>
          </w:tcPr>
          <w:p w:rsidR="00CA20BB" w:rsidRPr="00444D8F" w:rsidRDefault="00CA20BB" w:rsidP="00F05722">
            <w:pPr>
              <w:spacing w:before="520"/>
              <w:jc w:val="right"/>
              <w:rPr>
                <w:i/>
                <w:highlight w:val="cyan"/>
              </w:rPr>
            </w:pPr>
          </w:p>
        </w:tc>
      </w:tr>
    </w:tbl>
    <w:p w:rsidR="00CA20BB" w:rsidRPr="00EB4654" w:rsidRDefault="00CA20BB" w:rsidP="00CA20BB">
      <w:pPr>
        <w:pStyle w:val="Normal-pool"/>
      </w:pPr>
    </w:p>
    <w:sectPr w:rsidR="00CA20BB" w:rsidRPr="00EB4654" w:rsidSect="000B4AF8">
      <w:headerReference w:type="even" r:id="rId11"/>
      <w:headerReference w:type="default" r:id="rId12"/>
      <w:footerReference w:type="even" r:id="rId13"/>
      <w:footerReference w:type="defaul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EA" w:rsidRDefault="001370EA">
      <w:r>
        <w:separator/>
      </w:r>
    </w:p>
  </w:endnote>
  <w:endnote w:type="continuationSeparator" w:id="0">
    <w:p w:rsidR="001370EA" w:rsidRDefault="0013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595554">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595554">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BB" w:rsidRPr="00CA20BB" w:rsidRDefault="00A43A4D">
    <w:pPr>
      <w:pStyle w:val="Footer"/>
      <w:rPr>
        <w:sz w:val="20"/>
      </w:rPr>
    </w:pPr>
    <w:r>
      <w:rPr>
        <w:sz w:val="20"/>
      </w:rPr>
      <w:t>K16</w:t>
    </w:r>
    <w:r w:rsidR="00F05722">
      <w:rPr>
        <w:sz w:val="20"/>
      </w:rPr>
      <w:t>07216</w:t>
    </w:r>
    <w:r>
      <w:rPr>
        <w:sz w:val="20"/>
      </w:rPr>
      <w:tab/>
    </w:r>
    <w:r w:rsidR="00B52428">
      <w:rPr>
        <w:sz w:val="20"/>
      </w:rPr>
      <w:t>05</w:t>
    </w:r>
    <w:r>
      <w:rPr>
        <w:sz w:val="20"/>
      </w:rPr>
      <w:t>09</w:t>
    </w:r>
    <w:r w:rsidR="00CA20BB" w:rsidRPr="00CA20BB">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EA" w:rsidRDefault="001370EA" w:rsidP="00D92DE0">
      <w:pPr>
        <w:ind w:left="624"/>
      </w:pPr>
      <w:r>
        <w:separator/>
      </w:r>
    </w:p>
  </w:footnote>
  <w:footnote w:type="continuationSeparator" w:id="0">
    <w:p w:rsidR="001370EA" w:rsidRDefault="0013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Pr="00CA20BB" w:rsidRDefault="00CA20BB" w:rsidP="00CA20BB">
    <w:pPr>
      <w:pStyle w:val="Header"/>
      <w:rPr>
        <w:szCs w:val="18"/>
      </w:rPr>
    </w:pPr>
    <w:r w:rsidRPr="00EB4654">
      <w:rPr>
        <w:szCs w:val="18"/>
      </w:rPr>
      <w:t>UNEP</w:t>
    </w:r>
    <w:r>
      <w:rPr>
        <w:szCs w:val="18"/>
      </w:rPr>
      <w:t>/EA</w:t>
    </w:r>
    <w:r w:rsidRPr="00EF4A81">
      <w:rPr>
        <w:szCs w:val="18"/>
      </w:rPr>
      <w:t>.2</w:t>
    </w:r>
    <w:r w:rsidR="004D21A8" w:rsidRPr="00EF4A81">
      <w:rPr>
        <w:szCs w:val="18"/>
      </w:rPr>
      <w:t>/R</w:t>
    </w:r>
    <w:r w:rsidR="005E6C6D" w:rsidRPr="00EF4A81">
      <w:rPr>
        <w:szCs w:val="18"/>
      </w:rPr>
      <w:t>es</w:t>
    </w:r>
    <w:r w:rsidR="009321C8">
      <w:rPr>
        <w:szCs w:val="18"/>
      </w:rPr>
      <w:t>.</w:t>
    </w:r>
    <w:r w:rsidR="00F05722">
      <w:rPr>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99" w:rsidRPr="009225CD" w:rsidRDefault="009225CD" w:rsidP="009225CD">
    <w:pPr>
      <w:pStyle w:val="Header"/>
      <w:jc w:val="right"/>
      <w:rPr>
        <w:szCs w:val="18"/>
      </w:rPr>
    </w:pPr>
    <w:r w:rsidRPr="00EB4654">
      <w:rPr>
        <w:szCs w:val="18"/>
      </w:rPr>
      <w:t>UNEP</w:t>
    </w:r>
    <w:r>
      <w:rPr>
        <w:szCs w:val="18"/>
      </w:rPr>
      <w:t>/EA</w:t>
    </w:r>
    <w:r w:rsidRPr="00EF4A81">
      <w:rPr>
        <w:szCs w:val="18"/>
      </w:rPr>
      <w:t>.2/Res</w:t>
    </w:r>
    <w:r w:rsidR="00F72D38">
      <w:rPr>
        <w:szCs w:val="18"/>
      </w:rPr>
      <w:t>.</w:t>
    </w:r>
    <w:r w:rsidR="00F05722">
      <w:rPr>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4045F3D"/>
    <w:multiLevelType w:val="hybridMultilevel"/>
    <w:tmpl w:val="51E8CC30"/>
    <w:lvl w:ilvl="0" w:tplc="5068FA84">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60DB5"/>
    <w:multiLevelType w:val="hybridMultilevel"/>
    <w:tmpl w:val="29D2A6B6"/>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63836"/>
    <w:multiLevelType w:val="hybridMultilevel"/>
    <w:tmpl w:val="5516C548"/>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65B97"/>
    <w:multiLevelType w:val="hybridMultilevel"/>
    <w:tmpl w:val="4524F742"/>
    <w:lvl w:ilvl="0" w:tplc="33B076C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4489078E"/>
    <w:multiLevelType w:val="hybridMultilevel"/>
    <w:tmpl w:val="F85C8FA6"/>
    <w:lvl w:ilvl="0" w:tplc="686C6E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61E27"/>
    <w:multiLevelType w:val="hybridMultilevel"/>
    <w:tmpl w:val="EF7AAA2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52D75905"/>
    <w:multiLevelType w:val="hybridMultilevel"/>
    <w:tmpl w:val="54662786"/>
    <w:lvl w:ilvl="0" w:tplc="89AC072E">
      <w:start w:val="1"/>
      <w:numFmt w:val="lowerLetter"/>
      <w:lvlText w:val="(%1)"/>
      <w:lvlJc w:val="left"/>
      <w:pPr>
        <w:ind w:left="1967" w:hanging="360"/>
      </w:pPr>
      <w:rPr>
        <w:rFonts w:hint="default"/>
        <w:b w:val="0"/>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nsid w:val="53971BD4"/>
    <w:multiLevelType w:val="hybridMultilevel"/>
    <w:tmpl w:val="23AE477C"/>
    <w:lvl w:ilvl="0" w:tplc="F536A7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860897"/>
    <w:multiLevelType w:val="hybridMultilevel"/>
    <w:tmpl w:val="1294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F29F2"/>
    <w:multiLevelType w:val="hybridMultilevel"/>
    <w:tmpl w:val="B4280A5A"/>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92CFC"/>
    <w:multiLevelType w:val="hybridMultilevel"/>
    <w:tmpl w:val="0C209156"/>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858B1"/>
    <w:multiLevelType w:val="multilevel"/>
    <w:tmpl w:val="D07A6E4C"/>
    <w:numStyleLink w:val="Normallist"/>
  </w:abstractNum>
  <w:num w:numId="1">
    <w:abstractNumId w:val="8"/>
  </w:num>
  <w:num w:numId="2">
    <w:abstractNumId w:val="0"/>
  </w:num>
  <w:num w:numId="3">
    <w:abstractNumId w:val="5"/>
  </w:num>
  <w:num w:numId="4">
    <w:abstractNumId w:val="8"/>
  </w:num>
  <w:num w:numId="5">
    <w:abstractNumId w:val="8"/>
    <w:lvlOverride w:ilvl="0">
      <w:startOverride w:val="1"/>
      <w:lvl w:ilvl="0">
        <w:start w:val="1"/>
        <w:numFmt w:val="decimal"/>
        <w:pStyle w:val="Normalnumber"/>
        <w:lvlText w:val="%1."/>
        <w:lvlJc w:val="left"/>
        <w:pPr>
          <w:tabs>
            <w:tab w:val="num" w:pos="1134"/>
          </w:tabs>
          <w:ind w:left="1247"/>
        </w:pPr>
        <w:rPr>
          <w:rFonts w:hint="default"/>
          <w:b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
    <w:abstractNumId w:val="14"/>
    <w:lvlOverride w:ilvl="6">
      <w:lvl w:ilvl="6">
        <w:start w:val="1"/>
        <w:numFmt w:val="decimal"/>
        <w:lvlText w:val="%7."/>
        <w:lvlJc w:val="left"/>
        <w:pPr>
          <w:tabs>
            <w:tab w:val="num" w:pos="8555"/>
          </w:tabs>
          <w:ind w:left="8555" w:hanging="360"/>
        </w:pPr>
        <w:rPr>
          <w:rFonts w:hint="default"/>
          <w:b w:val="0"/>
          <w:i w:val="0"/>
        </w:rPr>
      </w:lvl>
    </w:lvlOverride>
  </w:num>
  <w:num w:numId="7">
    <w:abstractNumId w:val="12"/>
  </w:num>
  <w:num w:numId="8">
    <w:abstractNumId w:val="2"/>
  </w:num>
  <w:num w:numId="9">
    <w:abstractNumId w:val="3"/>
  </w:num>
  <w:num w:numId="10">
    <w:abstractNumId w:val="7"/>
  </w:num>
  <w:num w:numId="11">
    <w:abstractNumId w:val="6"/>
  </w:num>
  <w:num w:numId="12">
    <w:abstractNumId w:val="10"/>
  </w:num>
  <w:num w:numId="13">
    <w:abstractNumId w:val="9"/>
  </w:num>
  <w:num w:numId="14">
    <w:abstractNumId w:val="8"/>
  </w:num>
  <w:num w:numId="15">
    <w:abstractNumId w:val="8"/>
  </w:num>
  <w:num w:numId="16">
    <w:abstractNumId w:val="8"/>
  </w:num>
  <w:num w:numId="17">
    <w:abstractNumId w:val="1"/>
  </w:num>
  <w:num w:numId="18">
    <w:abstractNumId w:val="11"/>
  </w:num>
  <w:num w:numId="19">
    <w:abstractNumId w:val="13"/>
  </w:num>
  <w:num w:numId="20">
    <w:abstractNumId w:val="4"/>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BB"/>
    <w:rsid w:val="000149E6"/>
    <w:rsid w:val="000247B0"/>
    <w:rsid w:val="00026997"/>
    <w:rsid w:val="00033E0B"/>
    <w:rsid w:val="00035EDE"/>
    <w:rsid w:val="000509B4"/>
    <w:rsid w:val="0006035B"/>
    <w:rsid w:val="00071886"/>
    <w:rsid w:val="000742BC"/>
    <w:rsid w:val="00082A0C"/>
    <w:rsid w:val="00083504"/>
    <w:rsid w:val="0009640C"/>
    <w:rsid w:val="000B22A2"/>
    <w:rsid w:val="000B4AF8"/>
    <w:rsid w:val="000C2A52"/>
    <w:rsid w:val="000D33C0"/>
    <w:rsid w:val="000D6941"/>
    <w:rsid w:val="001202E3"/>
    <w:rsid w:val="00123699"/>
    <w:rsid w:val="0013059D"/>
    <w:rsid w:val="001370EA"/>
    <w:rsid w:val="00141A55"/>
    <w:rsid w:val="001446A3"/>
    <w:rsid w:val="00155395"/>
    <w:rsid w:val="00160D74"/>
    <w:rsid w:val="00167D02"/>
    <w:rsid w:val="00170961"/>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1413F"/>
    <w:rsid w:val="003148BB"/>
    <w:rsid w:val="00317976"/>
    <w:rsid w:val="00355EA9"/>
    <w:rsid w:val="003578DE"/>
    <w:rsid w:val="00396257"/>
    <w:rsid w:val="00397EB8"/>
    <w:rsid w:val="003A4FD0"/>
    <w:rsid w:val="003A69D1"/>
    <w:rsid w:val="003A7705"/>
    <w:rsid w:val="003A77F1"/>
    <w:rsid w:val="003B1545"/>
    <w:rsid w:val="003C409D"/>
    <w:rsid w:val="003C5BA6"/>
    <w:rsid w:val="003F0E85"/>
    <w:rsid w:val="00410C55"/>
    <w:rsid w:val="00416854"/>
    <w:rsid w:val="00417725"/>
    <w:rsid w:val="00437F26"/>
    <w:rsid w:val="00444097"/>
    <w:rsid w:val="00444D8F"/>
    <w:rsid w:val="00445487"/>
    <w:rsid w:val="00454769"/>
    <w:rsid w:val="00466991"/>
    <w:rsid w:val="0047064C"/>
    <w:rsid w:val="004A42E1"/>
    <w:rsid w:val="004B1299"/>
    <w:rsid w:val="004B162C"/>
    <w:rsid w:val="004C3DBE"/>
    <w:rsid w:val="004C5C96"/>
    <w:rsid w:val="004D06A4"/>
    <w:rsid w:val="004D21A8"/>
    <w:rsid w:val="004F1A81"/>
    <w:rsid w:val="005218D9"/>
    <w:rsid w:val="00536186"/>
    <w:rsid w:val="00544CBB"/>
    <w:rsid w:val="0057315F"/>
    <w:rsid w:val="00576104"/>
    <w:rsid w:val="00595554"/>
    <w:rsid w:val="005A4EED"/>
    <w:rsid w:val="005A5843"/>
    <w:rsid w:val="005C67C8"/>
    <w:rsid w:val="005D000E"/>
    <w:rsid w:val="005D0249"/>
    <w:rsid w:val="005D6E8C"/>
    <w:rsid w:val="005E6C6D"/>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157C"/>
    <w:rsid w:val="006727DC"/>
    <w:rsid w:val="00692E2A"/>
    <w:rsid w:val="006A76F2"/>
    <w:rsid w:val="006D7EFB"/>
    <w:rsid w:val="006E6672"/>
    <w:rsid w:val="006E6722"/>
    <w:rsid w:val="007027B9"/>
    <w:rsid w:val="00715E88"/>
    <w:rsid w:val="00734CAA"/>
    <w:rsid w:val="0075533C"/>
    <w:rsid w:val="00757581"/>
    <w:rsid w:val="007611A0"/>
    <w:rsid w:val="00796D3F"/>
    <w:rsid w:val="007A1683"/>
    <w:rsid w:val="007A5C12"/>
    <w:rsid w:val="007A7CB0"/>
    <w:rsid w:val="007B68A3"/>
    <w:rsid w:val="007C2541"/>
    <w:rsid w:val="007D66A8"/>
    <w:rsid w:val="007E003F"/>
    <w:rsid w:val="008164F2"/>
    <w:rsid w:val="00821395"/>
    <w:rsid w:val="00822421"/>
    <w:rsid w:val="00830E26"/>
    <w:rsid w:val="00843576"/>
    <w:rsid w:val="00843B64"/>
    <w:rsid w:val="008478FC"/>
    <w:rsid w:val="00857384"/>
    <w:rsid w:val="00867BFF"/>
    <w:rsid w:val="0088480A"/>
    <w:rsid w:val="0088757A"/>
    <w:rsid w:val="008957DD"/>
    <w:rsid w:val="00897D98"/>
    <w:rsid w:val="008A6DF2"/>
    <w:rsid w:val="008A7807"/>
    <w:rsid w:val="008B4CC9"/>
    <w:rsid w:val="008C7780"/>
    <w:rsid w:val="008D7C99"/>
    <w:rsid w:val="008E0FCB"/>
    <w:rsid w:val="00917FBF"/>
    <w:rsid w:val="0092178C"/>
    <w:rsid w:val="009225CD"/>
    <w:rsid w:val="00930B88"/>
    <w:rsid w:val="009321C8"/>
    <w:rsid w:val="00936879"/>
    <w:rsid w:val="00940DCC"/>
    <w:rsid w:val="0094179A"/>
    <w:rsid w:val="0094459E"/>
    <w:rsid w:val="00944DBC"/>
    <w:rsid w:val="00950977"/>
    <w:rsid w:val="00951A7B"/>
    <w:rsid w:val="009564A6"/>
    <w:rsid w:val="00967621"/>
    <w:rsid w:val="00967E6A"/>
    <w:rsid w:val="00991611"/>
    <w:rsid w:val="009B4A0F"/>
    <w:rsid w:val="009C11D2"/>
    <w:rsid w:val="009C37F1"/>
    <w:rsid w:val="009C6C70"/>
    <w:rsid w:val="009D0B63"/>
    <w:rsid w:val="009E307E"/>
    <w:rsid w:val="00A07870"/>
    <w:rsid w:val="00A07F19"/>
    <w:rsid w:val="00A1348D"/>
    <w:rsid w:val="00A232EE"/>
    <w:rsid w:val="00A4175F"/>
    <w:rsid w:val="00A43A4D"/>
    <w:rsid w:val="00A44411"/>
    <w:rsid w:val="00A469FA"/>
    <w:rsid w:val="00A55B01"/>
    <w:rsid w:val="00A56B5B"/>
    <w:rsid w:val="00A603FF"/>
    <w:rsid w:val="00A657DD"/>
    <w:rsid w:val="00A666A6"/>
    <w:rsid w:val="00A675FD"/>
    <w:rsid w:val="00A72437"/>
    <w:rsid w:val="00A80611"/>
    <w:rsid w:val="00AB5340"/>
    <w:rsid w:val="00AC0A89"/>
    <w:rsid w:val="00AC7C96"/>
    <w:rsid w:val="00AE237D"/>
    <w:rsid w:val="00AE502A"/>
    <w:rsid w:val="00AF7C07"/>
    <w:rsid w:val="00B22C93"/>
    <w:rsid w:val="00B27589"/>
    <w:rsid w:val="00B405B7"/>
    <w:rsid w:val="00B52222"/>
    <w:rsid w:val="00B52428"/>
    <w:rsid w:val="00B54FE7"/>
    <w:rsid w:val="00B66901"/>
    <w:rsid w:val="00B71E6D"/>
    <w:rsid w:val="00B72070"/>
    <w:rsid w:val="00B779E1"/>
    <w:rsid w:val="00B91EE1"/>
    <w:rsid w:val="00BA0090"/>
    <w:rsid w:val="00BA1A67"/>
    <w:rsid w:val="00BA746E"/>
    <w:rsid w:val="00BC773A"/>
    <w:rsid w:val="00BE5B5F"/>
    <w:rsid w:val="00C14100"/>
    <w:rsid w:val="00C26F55"/>
    <w:rsid w:val="00C30C63"/>
    <w:rsid w:val="00C36B8B"/>
    <w:rsid w:val="00C415C1"/>
    <w:rsid w:val="00C47DBF"/>
    <w:rsid w:val="00C552FF"/>
    <w:rsid w:val="00C558DA"/>
    <w:rsid w:val="00C55AF3"/>
    <w:rsid w:val="00C55F68"/>
    <w:rsid w:val="00C84759"/>
    <w:rsid w:val="00CA20BB"/>
    <w:rsid w:val="00CA6C7F"/>
    <w:rsid w:val="00CC10A6"/>
    <w:rsid w:val="00CD5EB8"/>
    <w:rsid w:val="00CD7044"/>
    <w:rsid w:val="00CE08B9"/>
    <w:rsid w:val="00CE524C"/>
    <w:rsid w:val="00CF141F"/>
    <w:rsid w:val="00CF4777"/>
    <w:rsid w:val="00D067BB"/>
    <w:rsid w:val="00D1352A"/>
    <w:rsid w:val="00D169AF"/>
    <w:rsid w:val="00D25249"/>
    <w:rsid w:val="00D44172"/>
    <w:rsid w:val="00D63B8C"/>
    <w:rsid w:val="00D739CC"/>
    <w:rsid w:val="00D8093D"/>
    <w:rsid w:val="00D8108C"/>
    <w:rsid w:val="00D842AE"/>
    <w:rsid w:val="00D9211C"/>
    <w:rsid w:val="00D92DE0"/>
    <w:rsid w:val="00D92FEF"/>
    <w:rsid w:val="00D93A0F"/>
    <w:rsid w:val="00DA1BCA"/>
    <w:rsid w:val="00DC46FF"/>
    <w:rsid w:val="00DC5254"/>
    <w:rsid w:val="00DD1A4F"/>
    <w:rsid w:val="00DD3107"/>
    <w:rsid w:val="00DD7C2C"/>
    <w:rsid w:val="00DF362E"/>
    <w:rsid w:val="00E06797"/>
    <w:rsid w:val="00E1265B"/>
    <w:rsid w:val="00E13B48"/>
    <w:rsid w:val="00E1404F"/>
    <w:rsid w:val="00E21C83"/>
    <w:rsid w:val="00E24ADA"/>
    <w:rsid w:val="00E32F59"/>
    <w:rsid w:val="00E46D9A"/>
    <w:rsid w:val="00E565FF"/>
    <w:rsid w:val="00E65388"/>
    <w:rsid w:val="00E85B7D"/>
    <w:rsid w:val="00E9121B"/>
    <w:rsid w:val="00EA0AE2"/>
    <w:rsid w:val="00EA39E5"/>
    <w:rsid w:val="00EC5A46"/>
    <w:rsid w:val="00EC63E2"/>
    <w:rsid w:val="00EF22B3"/>
    <w:rsid w:val="00EF4A81"/>
    <w:rsid w:val="00F03B69"/>
    <w:rsid w:val="00F05722"/>
    <w:rsid w:val="00F07A50"/>
    <w:rsid w:val="00F113DA"/>
    <w:rsid w:val="00F26AA2"/>
    <w:rsid w:val="00F37DC8"/>
    <w:rsid w:val="00F439B3"/>
    <w:rsid w:val="00F650C3"/>
    <w:rsid w:val="00F65D85"/>
    <w:rsid w:val="00F72D38"/>
    <w:rsid w:val="00F8091E"/>
    <w:rsid w:val="00F8615C"/>
    <w:rsid w:val="00F969E5"/>
    <w:rsid w:val="00FA6BB0"/>
    <w:rsid w:val="00FB13F1"/>
    <w:rsid w:val="00FD5860"/>
    <w:rsid w:val="00FE2AD9"/>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rsid w:val="00CA20BB"/>
    <w:rPr>
      <w:sz w:val="18"/>
      <w:lang w:val="fr-FR"/>
    </w:rPr>
  </w:style>
  <w:style w:type="character" w:customStyle="1" w:styleId="NormalnumberChar">
    <w:name w:val="Normal_number Char"/>
    <w:link w:val="Normalnumber"/>
    <w:uiPriority w:val="99"/>
    <w:rsid w:val="00CA20BB"/>
    <w:rPr>
      <w:lang w:val="en-GB"/>
    </w:rPr>
  </w:style>
  <w:style w:type="character" w:customStyle="1" w:styleId="Normal-poolChar">
    <w:name w:val="Normal-pool Char"/>
    <w:link w:val="Normal-pool"/>
    <w:rsid w:val="00CA20BB"/>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5A5843"/>
    <w:rPr>
      <w:rFonts w:ascii="Tahoma" w:hAnsi="Tahoma" w:cs="Tahoma"/>
      <w:sz w:val="16"/>
      <w:szCs w:val="16"/>
    </w:rPr>
  </w:style>
  <w:style w:type="character" w:customStyle="1" w:styleId="BalloonTextChar">
    <w:name w:val="Balloon Text Char"/>
    <w:basedOn w:val="DefaultParagraphFont"/>
    <w:link w:val="BalloonText"/>
    <w:rsid w:val="005A5843"/>
    <w:rPr>
      <w:rFonts w:ascii="Tahoma" w:hAnsi="Tahoma" w:cs="Tahoma"/>
      <w:sz w:val="16"/>
      <w:szCs w:val="16"/>
      <w:lang w:val="fr-FR"/>
    </w:rPr>
  </w:style>
  <w:style w:type="character" w:styleId="Emphasis">
    <w:name w:val="Emphasis"/>
    <w:basedOn w:val="DefaultParagraphFont"/>
    <w:qFormat/>
    <w:rsid w:val="00444D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ftref,16 Point,Superscript 6 Point,number,SUPERS,Footnote Reference Superscript,(Ref. de nota al pie)"/>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n,Footnotes,Footnote ak,ft,fn cafc,Footnotes Char Char,Footnote Text Char Char,fn Char Char,footnote text Char Char Char Ch,Footnote Text Char1,footnote text Char Char Char Ch Char,-E Fußnotente"/>
    <w:basedOn w:val="Normalpool"/>
    <w:link w:val="FootnoteTextChar"/>
    <w:uiPriority w:val="99"/>
    <w:rsid w:val="000D6941"/>
    <w:pPr>
      <w:spacing w:before="20" w:after="40"/>
      <w:ind w:left="1247"/>
    </w:pPr>
    <w:rPr>
      <w:sz w:val="18"/>
    </w:rPr>
  </w:style>
  <w:style w:type="character" w:customStyle="1" w:styleId="FootnoteTextChar">
    <w:name w:val="Footnote Text Char"/>
    <w:aliases w:val="Geneva 9 Char,Font: Geneva 9 Char,Boston 10 Char,f Char,DNV-FT Char,fn Char,Footnotes Char,Footnote ak Char,ft Char,fn cafc Char,Footnotes Char Char Char,Footnote Text Char Char Char,fn Char Char Char,Footnote Text Char1 Char"/>
    <w:link w:val="FootnoteText"/>
    <w:uiPriority w:val="99"/>
    <w:rsid w:val="00CA20BB"/>
    <w:rPr>
      <w:sz w:val="18"/>
      <w:lang w:val="fr-FR"/>
    </w:rPr>
  </w:style>
  <w:style w:type="character" w:customStyle="1" w:styleId="NormalnumberChar">
    <w:name w:val="Normal_number Char"/>
    <w:link w:val="Normalnumber"/>
    <w:uiPriority w:val="99"/>
    <w:rsid w:val="00CA20BB"/>
    <w:rPr>
      <w:lang w:val="en-GB"/>
    </w:rPr>
  </w:style>
  <w:style w:type="character" w:customStyle="1" w:styleId="Normal-poolChar">
    <w:name w:val="Normal-pool Char"/>
    <w:link w:val="Normal-pool"/>
    <w:rsid w:val="00CA20BB"/>
    <w:rPr>
      <w:lang w:val="en-GB"/>
    </w:rPr>
  </w:style>
  <w:style w:type="table" w:customStyle="1" w:styleId="AATable">
    <w:name w:val="AA_Table"/>
    <w:basedOn w:val="TableNormal"/>
    <w:uiPriority w:val="99"/>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uiPriority w:val="99"/>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5A5843"/>
    <w:rPr>
      <w:rFonts w:ascii="Tahoma" w:hAnsi="Tahoma" w:cs="Tahoma"/>
      <w:sz w:val="16"/>
      <w:szCs w:val="16"/>
    </w:rPr>
  </w:style>
  <w:style w:type="character" w:customStyle="1" w:styleId="BalloonTextChar">
    <w:name w:val="Balloon Text Char"/>
    <w:basedOn w:val="DefaultParagraphFont"/>
    <w:link w:val="BalloonText"/>
    <w:rsid w:val="005A5843"/>
    <w:rPr>
      <w:rFonts w:ascii="Tahoma" w:hAnsi="Tahoma" w:cs="Tahoma"/>
      <w:sz w:val="16"/>
      <w:szCs w:val="16"/>
      <w:lang w:val="fr-FR"/>
    </w:rPr>
  </w:style>
  <w:style w:type="character" w:styleId="Emphasis">
    <w:name w:val="Emphasis"/>
    <w:basedOn w:val="DefaultParagraphFont"/>
    <w:qFormat/>
    <w:rsid w:val="00444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Cyrille-Lazare Siewe</cp:lastModifiedBy>
  <cp:revision>2</cp:revision>
  <cp:lastPrinted>2016-08-16T07:38:00Z</cp:lastPrinted>
  <dcterms:created xsi:type="dcterms:W3CDTF">2016-09-12T04:48:00Z</dcterms:created>
  <dcterms:modified xsi:type="dcterms:W3CDTF">2016-09-12T04:48:00Z</dcterms:modified>
</cp:coreProperties>
</file>