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rPr>
          <w:cantSplit/>
          <w:trHeight w:val="708"/>
        </w:trPr>
        <w:tc>
          <w:tcPr>
            <w:tcW w:w="2707" w:type="dxa"/>
            <w:tcBorders>
              <w:bottom w:val="nil"/>
            </w:tcBorders>
          </w:tcPr>
          <w:p w:rsidR="00DE796A" w:rsidRPr="00C811BE" w:rsidRDefault="00C811BE">
            <w:pPr>
              <w:bidi w:val="0"/>
              <w:rPr>
                <w:rFonts w:cs="Times New Roman"/>
                <w:b/>
                <w:bCs/>
                <w:sz w:val="60"/>
                <w:szCs w:val="60"/>
                <w:rtl/>
              </w:rPr>
            </w:pPr>
            <w:bookmarkStart w:id="0" w:name="_GoBack"/>
            <w:bookmarkEnd w:id="0"/>
            <w:r w:rsidRPr="00C811BE">
              <w:rPr>
                <w:rFonts w:ascii="Univers" w:hAnsi="Univers" w:cs="Times New Roman"/>
                <w:b/>
                <w:sz w:val="60"/>
                <w:szCs w:val="60"/>
              </w:rPr>
              <w:t>EP</w:t>
            </w:r>
          </w:p>
        </w:tc>
        <w:tc>
          <w:tcPr>
            <w:tcW w:w="6933" w:type="dxa"/>
            <w:gridSpan w:val="2"/>
            <w:tcBorders>
              <w:bottom w:val="nil"/>
            </w:tcBorders>
          </w:tcPr>
          <w:p w:rsidR="00DE796A" w:rsidRPr="000844F9" w:rsidRDefault="00DE796A">
            <w:pPr>
              <w:jc w:val="both"/>
              <w:rPr>
                <w:rFonts w:cs="Traditional Arabic"/>
                <w:b/>
                <w:bCs/>
                <w:sz w:val="44"/>
                <w:szCs w:val="44"/>
              </w:rPr>
            </w:pPr>
            <w:r w:rsidRPr="000844F9">
              <w:rPr>
                <w:rFonts w:cs="Traditional Arabic"/>
                <w:b/>
                <w:bCs/>
                <w:sz w:val="44"/>
                <w:szCs w:val="44"/>
                <w:rtl/>
              </w:rPr>
              <w:t>الأمم المتحدة</w:t>
            </w:r>
          </w:p>
        </w:tc>
      </w:tr>
      <w:tr w:rsidR="004B0A17">
        <w:trPr>
          <w:cantSplit/>
          <w:trHeight w:val="415"/>
        </w:trPr>
        <w:tc>
          <w:tcPr>
            <w:tcW w:w="2707" w:type="dxa"/>
            <w:tcBorders>
              <w:top w:val="nil"/>
              <w:bottom w:val="single" w:sz="4" w:space="0" w:color="auto"/>
            </w:tcBorders>
          </w:tcPr>
          <w:p w:rsidR="004B0A17" w:rsidRPr="004B0A17" w:rsidRDefault="00FC1DEC" w:rsidP="007F5668">
            <w:pPr>
              <w:bidi w:val="0"/>
              <w:spacing w:before="120"/>
              <w:rPr>
                <w:rFonts w:cs="Times New Roman"/>
                <w:b/>
                <w:bCs/>
                <w:sz w:val="20"/>
                <w:szCs w:val="20"/>
              </w:rPr>
            </w:pPr>
            <w:r w:rsidRPr="00A4434B">
              <w:rPr>
                <w:b/>
                <w:bCs/>
                <w:sz w:val="28"/>
                <w:lang w:val="en-GB"/>
              </w:rPr>
              <w:t>UNEP</w:t>
            </w:r>
            <w:r w:rsidRPr="00A4434B">
              <w:rPr>
                <w:lang w:val="en-GB"/>
              </w:rPr>
              <w:t>/</w:t>
            </w:r>
            <w:r w:rsidRPr="00004629">
              <w:rPr>
                <w:sz w:val="20"/>
                <w:szCs w:val="20"/>
                <w:lang w:val="en-GB"/>
              </w:rPr>
              <w:t>EA.</w:t>
            </w:r>
            <w:r w:rsidR="000E24FF">
              <w:rPr>
                <w:sz w:val="20"/>
                <w:szCs w:val="20"/>
                <w:lang w:val="en-GB"/>
              </w:rPr>
              <w:t>2</w:t>
            </w:r>
            <w:r w:rsidRPr="00004629">
              <w:rPr>
                <w:sz w:val="20"/>
                <w:szCs w:val="20"/>
                <w:lang w:val="en-GB"/>
              </w:rPr>
              <w:t>/</w:t>
            </w:r>
            <w:r w:rsidR="00B70CA8">
              <w:rPr>
                <w:sz w:val="20"/>
                <w:szCs w:val="20"/>
                <w:lang w:val="en-GB"/>
              </w:rPr>
              <w:t>Res.</w:t>
            </w:r>
            <w:r w:rsidR="007F5668">
              <w:rPr>
                <w:sz w:val="20"/>
                <w:szCs w:val="20"/>
                <w:lang w:val="en-GB"/>
              </w:rPr>
              <w:t>16</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2B0E93">
        <w:trPr>
          <w:cantSplit/>
          <w:trHeight w:val="2659"/>
        </w:trPr>
        <w:tc>
          <w:tcPr>
            <w:tcW w:w="2707" w:type="dxa"/>
            <w:tcBorders>
              <w:top w:val="single" w:sz="4" w:space="0" w:color="auto"/>
            </w:tcBorders>
          </w:tcPr>
          <w:p w:rsidR="00DE796A" w:rsidRPr="00A969A0" w:rsidRDefault="00DE796A" w:rsidP="00D9173E">
            <w:pPr>
              <w:bidi w:val="0"/>
              <w:spacing w:before="36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7F5668" w:rsidP="00B70CA8">
            <w:pPr>
              <w:bidi w:val="0"/>
              <w:jc w:val="both"/>
              <w:rPr>
                <w:rFonts w:cs="Times New Roman"/>
                <w:sz w:val="20"/>
                <w:szCs w:val="20"/>
              </w:rPr>
            </w:pPr>
            <w:r>
              <w:rPr>
                <w:rFonts w:cs="Times New Roman"/>
                <w:sz w:val="20"/>
                <w:szCs w:val="20"/>
              </w:rPr>
              <w:t>4</w:t>
            </w:r>
            <w:r w:rsidR="00DE796A" w:rsidRPr="00A969A0">
              <w:rPr>
                <w:rFonts w:cs="Times New Roman"/>
                <w:sz w:val="20"/>
                <w:szCs w:val="20"/>
              </w:rPr>
              <w:t xml:space="preserve"> </w:t>
            </w:r>
            <w:r w:rsidR="00B70CA8">
              <w:rPr>
                <w:rFonts w:cs="Times New Roman"/>
                <w:sz w:val="20"/>
                <w:szCs w:val="20"/>
              </w:rPr>
              <w:t>August</w:t>
            </w:r>
            <w:r w:rsidR="00DE796A" w:rsidRPr="00A969A0">
              <w:rPr>
                <w:rFonts w:cs="Times New Roman"/>
                <w:sz w:val="20"/>
                <w:szCs w:val="20"/>
              </w:rPr>
              <w:t xml:space="preserve"> 20</w:t>
            </w:r>
            <w:r w:rsidR="003D7E80">
              <w:rPr>
                <w:rFonts w:cs="Times New Roman"/>
                <w:sz w:val="20"/>
                <w:szCs w:val="20"/>
              </w:rPr>
              <w:t>1</w:t>
            </w:r>
            <w:r w:rsidR="00F74BF8">
              <w:rPr>
                <w:rFonts w:cs="Times New Roman"/>
                <w:sz w:val="20"/>
                <w:szCs w:val="20"/>
              </w:rPr>
              <w:t>6</w:t>
            </w:r>
          </w:p>
          <w:p w:rsidR="00DE796A" w:rsidRPr="00A969A0" w:rsidRDefault="009819E2" w:rsidP="00A969A0">
            <w:pPr>
              <w:pStyle w:val="Heading5"/>
              <w:bidi w:val="0"/>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DE796A" w:rsidRPr="002B0E93" w:rsidRDefault="00324C76" w:rsidP="00193855">
            <w:pPr>
              <w:spacing w:before="240" w:line="520" w:lineRule="exact"/>
              <w:ind w:left="164" w:right="2005" w:firstLine="17"/>
              <w:jc w:val="both"/>
              <w:rPr>
                <w:sz w:val="48"/>
                <w:szCs w:val="48"/>
                <w:rtl/>
              </w:rPr>
            </w:pPr>
            <w:r w:rsidRPr="002B0E93">
              <w:rPr>
                <w:rFonts w:cs="Traditional Arabic"/>
                <w:b/>
                <w:bCs/>
                <w:sz w:val="48"/>
                <w:szCs w:val="48"/>
                <w:rtl/>
              </w:rPr>
              <w:t xml:space="preserve">جمعية الأمم المتحدة للبيئة </w:t>
            </w:r>
            <w:r w:rsidR="000255EE" w:rsidRPr="002B0E93">
              <w:rPr>
                <w:rFonts w:cs="Traditional Arabic"/>
                <w:b/>
                <w:bCs/>
                <w:sz w:val="48"/>
                <w:szCs w:val="48"/>
                <w:rtl/>
              </w:rPr>
              <w:t xml:space="preserve">التابعة </w:t>
            </w:r>
            <w:r w:rsidR="007C0FF8" w:rsidRPr="002B0E93">
              <w:rPr>
                <w:rFonts w:cs="Traditional Arabic"/>
                <w:b/>
                <w:bCs/>
                <w:sz w:val="48"/>
                <w:szCs w:val="48"/>
                <w:rtl/>
              </w:rPr>
              <w:t>ل</w:t>
            </w:r>
            <w:r w:rsidRPr="002B0E93">
              <w:rPr>
                <w:rFonts w:cs="Traditional Arabic"/>
                <w:b/>
                <w:bCs/>
                <w:sz w:val="48"/>
                <w:szCs w:val="48"/>
                <w:rtl/>
              </w:rPr>
              <w:t>برنامج الأمم المتحدة للبيئة</w:t>
            </w:r>
          </w:p>
        </w:tc>
        <w:tc>
          <w:tcPr>
            <w:tcW w:w="1701" w:type="dxa"/>
            <w:tcBorders>
              <w:top w:val="single" w:sz="4" w:space="0" w:color="auto"/>
            </w:tcBorders>
          </w:tcPr>
          <w:p w:rsidR="00DE796A" w:rsidRDefault="003D2FFB" w:rsidP="002B0E93">
            <w:pPr>
              <w:spacing w:line="20" w:lineRule="exact"/>
              <w:jc w:val="right"/>
            </w:pPr>
            <w:r>
              <w:rPr>
                <w:noProof/>
              </w:rPr>
              <w:drawing>
                <wp:anchor distT="0" distB="0" distL="114300" distR="114300" simplePos="0" relativeHeight="251658240" behindDoc="0" locked="0" layoutInCell="1" allowOverlap="1">
                  <wp:simplePos x="0" y="0"/>
                  <wp:positionH relativeFrom="column">
                    <wp:posOffset>126365</wp:posOffset>
                  </wp:positionH>
                  <wp:positionV relativeFrom="paragraph">
                    <wp:posOffset>962025</wp:posOffset>
                  </wp:positionV>
                  <wp:extent cx="69342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6934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206375</wp:posOffset>
                  </wp:positionH>
                  <wp:positionV relativeFrom="paragraph">
                    <wp:posOffset>33020</wp:posOffset>
                  </wp:positionV>
                  <wp:extent cx="652145" cy="791845"/>
                  <wp:effectExtent l="0" t="0" r="0" b="8255"/>
                  <wp:wrapSquare wrapText="bothSides"/>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t="-28909"/>
                          <a:stretch>
                            <a:fillRect/>
                          </a:stretch>
                        </pic:blipFill>
                        <pic:spPr bwMode="auto">
                          <a:xfrm>
                            <a:off x="0" y="0"/>
                            <a:ext cx="6521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81553" w:rsidRDefault="00A81553" w:rsidP="000255EE">
      <w:pPr>
        <w:spacing w:before="120" w:line="360" w:lineRule="exact"/>
        <w:ind w:left="62" w:right="6663"/>
        <w:jc w:val="both"/>
        <w:rPr>
          <w:rFonts w:cs="Traditional Arabic"/>
          <w:b/>
          <w:bCs/>
          <w:sz w:val="30"/>
          <w:szCs w:val="30"/>
          <w:rtl/>
        </w:rPr>
      </w:pPr>
      <w:r>
        <w:rPr>
          <w:rFonts w:cs="Traditional Arabic"/>
          <w:b/>
          <w:bCs/>
          <w:sz w:val="30"/>
          <w:szCs w:val="30"/>
          <w:rtl/>
        </w:rPr>
        <w:t xml:space="preserve">جمعية الأمم المتحدة للبيئة </w:t>
      </w:r>
      <w:r w:rsidR="000255EE">
        <w:rPr>
          <w:rFonts w:cs="Traditional Arabic"/>
          <w:b/>
          <w:bCs/>
          <w:sz w:val="30"/>
          <w:szCs w:val="30"/>
          <w:rtl/>
        </w:rPr>
        <w:t xml:space="preserve">التابعة </w:t>
      </w:r>
      <w:r w:rsidR="007C0FF8">
        <w:rPr>
          <w:rFonts w:cs="Traditional Arabic"/>
          <w:b/>
          <w:bCs/>
          <w:sz w:val="30"/>
          <w:szCs w:val="30"/>
          <w:rtl/>
        </w:rPr>
        <w:t>ل</w:t>
      </w:r>
      <w:r>
        <w:rPr>
          <w:rFonts w:cs="Traditional Arabic"/>
          <w:b/>
          <w:bCs/>
          <w:sz w:val="30"/>
          <w:szCs w:val="30"/>
          <w:rtl/>
        </w:rPr>
        <w:t>برنامج الأمم المتحدة للبيئة</w:t>
      </w:r>
    </w:p>
    <w:p w:rsidR="00A81553" w:rsidRPr="00A579D1" w:rsidRDefault="00A81553" w:rsidP="003A3C5E">
      <w:pPr>
        <w:spacing w:line="360" w:lineRule="exact"/>
        <w:ind w:left="63" w:right="6946"/>
        <w:jc w:val="both"/>
        <w:rPr>
          <w:rFonts w:cs="Traditional Arabic"/>
          <w:b/>
          <w:bCs/>
          <w:sz w:val="30"/>
          <w:szCs w:val="30"/>
          <w:rtl/>
        </w:rPr>
      </w:pPr>
      <w:r>
        <w:rPr>
          <w:rFonts w:cs="Traditional Arabic"/>
          <w:b/>
          <w:bCs/>
          <w:sz w:val="30"/>
          <w:szCs w:val="30"/>
          <w:rtl/>
        </w:rPr>
        <w:t xml:space="preserve">الدورة </w:t>
      </w:r>
      <w:r w:rsidR="003A3C5E">
        <w:rPr>
          <w:rFonts w:cs="Traditional Arabic"/>
          <w:b/>
          <w:bCs/>
          <w:sz w:val="30"/>
          <w:szCs w:val="30"/>
          <w:rtl/>
        </w:rPr>
        <w:t>الثانية</w:t>
      </w:r>
    </w:p>
    <w:p w:rsidR="00F74BF8" w:rsidRPr="007D4D43" w:rsidRDefault="00A81553" w:rsidP="00B70CA8">
      <w:pPr>
        <w:spacing w:line="360" w:lineRule="exact"/>
        <w:ind w:left="63" w:right="5812"/>
        <w:jc w:val="both"/>
        <w:rPr>
          <w:b/>
          <w:bCs/>
          <w:sz w:val="28"/>
          <w:rtl/>
        </w:rPr>
      </w:pPr>
      <w:r w:rsidRPr="00A579D1">
        <w:rPr>
          <w:rFonts w:cs="Traditional Arabic"/>
          <w:sz w:val="30"/>
          <w:szCs w:val="30"/>
          <w:rtl/>
        </w:rPr>
        <w:t xml:space="preserve">نيروبي، </w:t>
      </w:r>
      <w:r>
        <w:rPr>
          <w:rFonts w:cs="Traditional Arabic"/>
          <w:sz w:val="30"/>
          <w:szCs w:val="30"/>
          <w:rtl/>
        </w:rPr>
        <w:t>23-27</w:t>
      </w:r>
      <w:r w:rsidRPr="00A579D1">
        <w:rPr>
          <w:rFonts w:cs="Traditional Arabic"/>
          <w:sz w:val="30"/>
          <w:szCs w:val="30"/>
          <w:rtl/>
        </w:rPr>
        <w:t xml:space="preserve"> </w:t>
      </w:r>
      <w:r w:rsidR="003A3C5E">
        <w:rPr>
          <w:rFonts w:cs="Traditional Arabic"/>
          <w:sz w:val="30"/>
          <w:szCs w:val="30"/>
          <w:rtl/>
        </w:rPr>
        <w:t>أيار</w:t>
      </w:r>
      <w:r w:rsidRPr="00A579D1">
        <w:rPr>
          <w:rFonts w:cs="Traditional Arabic"/>
          <w:sz w:val="30"/>
          <w:szCs w:val="30"/>
          <w:rtl/>
        </w:rPr>
        <w:t>/</w:t>
      </w:r>
      <w:r w:rsidR="003A3C5E">
        <w:rPr>
          <w:rFonts w:cs="Traditional Arabic"/>
          <w:sz w:val="30"/>
          <w:szCs w:val="30"/>
          <w:rtl/>
        </w:rPr>
        <w:t>مايو</w:t>
      </w:r>
      <w:r w:rsidRPr="00A579D1">
        <w:rPr>
          <w:rFonts w:cs="Traditional Arabic"/>
          <w:sz w:val="30"/>
          <w:szCs w:val="30"/>
          <w:rtl/>
        </w:rPr>
        <w:t xml:space="preserve"> 20</w:t>
      </w:r>
      <w:r>
        <w:rPr>
          <w:rFonts w:cs="Traditional Arabic"/>
          <w:sz w:val="30"/>
          <w:szCs w:val="30"/>
          <w:rtl/>
        </w:rPr>
        <w:t>1</w:t>
      </w:r>
      <w:r w:rsidR="003A3C5E">
        <w:rPr>
          <w:rFonts w:cs="Traditional Arabic"/>
          <w:sz w:val="30"/>
          <w:szCs w:val="30"/>
          <w:rtl/>
        </w:rPr>
        <w:t>6</w:t>
      </w:r>
    </w:p>
    <w:p w:rsidR="00302A2D" w:rsidRPr="00B97498" w:rsidRDefault="00302A2D" w:rsidP="00302A2D">
      <w:pPr>
        <w:spacing w:before="360" w:after="120" w:line="400" w:lineRule="exact"/>
        <w:ind w:left="1985" w:hanging="851"/>
        <w:jc w:val="both"/>
        <w:rPr>
          <w:rFonts w:ascii="Traditional Arabic" w:hAnsi="Traditional Arabic" w:cs="Traditional Arabic"/>
          <w:b/>
          <w:bCs/>
          <w:sz w:val="32"/>
          <w:szCs w:val="32"/>
          <w:rtl/>
          <w:lang w:val="en-GB"/>
        </w:rPr>
      </w:pPr>
      <w:r w:rsidRPr="00B97498">
        <w:rPr>
          <w:rFonts w:ascii="Traditional Arabic" w:hAnsi="Traditional Arabic" w:cs="Traditional Arabic" w:hint="cs"/>
          <w:b/>
          <w:bCs/>
          <w:sz w:val="32"/>
          <w:szCs w:val="32"/>
          <w:rtl/>
          <w:lang w:val="en-GB"/>
        </w:rPr>
        <w:t>2/16-</w:t>
      </w:r>
      <w:r w:rsidRPr="00B97498">
        <w:rPr>
          <w:rFonts w:ascii="Traditional Arabic" w:hAnsi="Traditional Arabic" w:cs="Traditional Arabic" w:hint="cs"/>
          <w:b/>
          <w:bCs/>
          <w:sz w:val="32"/>
          <w:szCs w:val="32"/>
          <w:rtl/>
          <w:lang w:val="en-GB"/>
        </w:rPr>
        <w:tab/>
      </w:r>
      <w:r w:rsidRPr="00B97498">
        <w:rPr>
          <w:rFonts w:ascii="Traditional Arabic" w:hAnsi="Traditional Arabic" w:cs="Traditional Arabic"/>
          <w:b/>
          <w:bCs/>
          <w:sz w:val="32"/>
          <w:szCs w:val="32"/>
          <w:rtl/>
          <w:lang w:val="en-GB"/>
        </w:rPr>
        <w:t xml:space="preserve">تعميم مراعاة التنوع البيولوجي من أجل </w:t>
      </w:r>
      <w:r w:rsidRPr="00B97498">
        <w:rPr>
          <w:rFonts w:ascii="Traditional Arabic" w:hAnsi="Traditional Arabic" w:cs="Traditional Arabic" w:hint="cs"/>
          <w:b/>
          <w:bCs/>
          <w:sz w:val="32"/>
          <w:szCs w:val="32"/>
          <w:rtl/>
          <w:lang w:val="en-GB"/>
        </w:rPr>
        <w:t xml:space="preserve">تحقيق </w:t>
      </w:r>
      <w:r w:rsidRPr="00B97498">
        <w:rPr>
          <w:rFonts w:ascii="Traditional Arabic" w:hAnsi="Traditional Arabic" w:cs="Traditional Arabic"/>
          <w:b/>
          <w:bCs/>
          <w:sz w:val="32"/>
          <w:szCs w:val="32"/>
          <w:rtl/>
          <w:lang w:val="en-GB"/>
        </w:rPr>
        <w:t>الرفاه</w:t>
      </w:r>
    </w:p>
    <w:p w:rsidR="00302A2D" w:rsidRPr="007E0BB0" w:rsidRDefault="00302A2D" w:rsidP="00302A2D">
      <w:pPr>
        <w:spacing w:after="120" w:line="400" w:lineRule="exact"/>
        <w:ind w:left="1983"/>
        <w:jc w:val="both"/>
        <w:rPr>
          <w:rFonts w:cs="Traditional Arabic"/>
          <w:i/>
          <w:iCs/>
          <w:sz w:val="20"/>
          <w:szCs w:val="30"/>
          <w:rtl/>
        </w:rPr>
      </w:pPr>
      <w:r w:rsidRPr="007E0BB0">
        <w:rPr>
          <w:rFonts w:cs="Traditional Arabic"/>
          <w:i/>
          <w:iCs/>
          <w:sz w:val="20"/>
          <w:szCs w:val="30"/>
          <w:rtl/>
        </w:rPr>
        <w:t>إن جمعية الأمم المتحدة للبيئة</w:t>
      </w:r>
      <w:r w:rsidRPr="007E0BB0">
        <w:rPr>
          <w:rFonts w:cs="Traditional Arabic" w:hint="cs"/>
          <w:i/>
          <w:iCs/>
          <w:sz w:val="20"/>
          <w:szCs w:val="30"/>
          <w:rtl/>
        </w:rPr>
        <w:t>،</w:t>
      </w:r>
    </w:p>
    <w:p w:rsidR="00302A2D" w:rsidRPr="007E0BB0" w:rsidRDefault="00302A2D" w:rsidP="00302A2D">
      <w:pPr>
        <w:spacing w:after="120" w:line="400" w:lineRule="exact"/>
        <w:ind w:left="1134" w:firstLine="849"/>
        <w:jc w:val="both"/>
        <w:rPr>
          <w:rFonts w:cs="Traditional Arabic"/>
          <w:sz w:val="20"/>
          <w:szCs w:val="30"/>
        </w:rPr>
      </w:pPr>
      <w:r w:rsidRPr="007E0BB0">
        <w:rPr>
          <w:rFonts w:cs="Traditional Arabic"/>
          <w:i/>
          <w:iCs/>
          <w:sz w:val="20"/>
          <w:szCs w:val="30"/>
          <w:rtl/>
        </w:rPr>
        <w:t>إذ تؤكد مجدداً</w:t>
      </w:r>
      <w:r w:rsidRPr="007E0BB0">
        <w:rPr>
          <w:rFonts w:cs="Traditional Arabic"/>
          <w:sz w:val="20"/>
          <w:szCs w:val="30"/>
          <w:rtl/>
        </w:rPr>
        <w:t xml:space="preserve"> على أن اتفاقية التنوع البيولوجي تحدد الأهداف التي اتفق عليها المجتمع الدولي من أجل حفظ التنوع البيولوجي، والاستخدام المستدام لعناصره والتقاسم العادل والمنصف للمنافع الن</w:t>
      </w:r>
      <w:r>
        <w:rPr>
          <w:rFonts w:cs="Traditional Arabic"/>
          <w:sz w:val="20"/>
          <w:szCs w:val="30"/>
          <w:rtl/>
        </w:rPr>
        <w:t>اشئة عن استخدام الموارد الجينية</w:t>
      </w:r>
      <w:r>
        <w:rPr>
          <w:rFonts w:cs="Traditional Arabic" w:hint="cs"/>
          <w:sz w:val="20"/>
          <w:szCs w:val="30"/>
          <w:rtl/>
        </w:rPr>
        <w:t>،</w:t>
      </w:r>
    </w:p>
    <w:p w:rsidR="00302A2D" w:rsidRPr="007E0BB0" w:rsidRDefault="00302A2D" w:rsidP="00302A2D">
      <w:pPr>
        <w:spacing w:after="120" w:line="400" w:lineRule="exact"/>
        <w:ind w:left="1134" w:firstLine="849"/>
        <w:jc w:val="both"/>
        <w:rPr>
          <w:rFonts w:cs="Traditional Arabic"/>
          <w:sz w:val="20"/>
          <w:szCs w:val="30"/>
        </w:rPr>
      </w:pPr>
      <w:r w:rsidRPr="007E0BB0">
        <w:rPr>
          <w:rFonts w:cs="Traditional Arabic"/>
          <w:i/>
          <w:iCs/>
          <w:sz w:val="20"/>
          <w:szCs w:val="30"/>
          <w:rtl/>
        </w:rPr>
        <w:t>وإذ تشدد</w:t>
      </w:r>
      <w:r w:rsidRPr="007E0BB0">
        <w:rPr>
          <w:rFonts w:cs="Traditional Arabic"/>
          <w:sz w:val="20"/>
          <w:szCs w:val="30"/>
          <w:rtl/>
        </w:rPr>
        <w:t xml:space="preserve"> على أن الخطة الاستراتيجية للتنوع البيولوجي للفترة 2011-2020 وأهداف آي</w:t>
      </w:r>
      <w:r>
        <w:rPr>
          <w:rFonts w:cs="Traditional Arabic" w:hint="cs"/>
          <w:sz w:val="20"/>
          <w:szCs w:val="30"/>
          <w:rtl/>
        </w:rPr>
        <w:t>ت</w:t>
      </w:r>
      <w:r w:rsidRPr="007E0BB0">
        <w:rPr>
          <w:rFonts w:cs="Traditional Arabic"/>
          <w:sz w:val="20"/>
          <w:szCs w:val="30"/>
          <w:rtl/>
        </w:rPr>
        <w:t xml:space="preserve">شي المتعلقة بالتنوع البيولوجي تتواصل في رؤية </w:t>
      </w:r>
      <w:r w:rsidRPr="007E0BB0">
        <w:rPr>
          <w:rFonts w:cs="Traditional Arabic" w:hint="cs"/>
          <w:sz w:val="20"/>
          <w:szCs w:val="30"/>
          <w:rtl/>
        </w:rPr>
        <w:t>وضعت لعام</w:t>
      </w:r>
      <w:r w:rsidRPr="007E0BB0">
        <w:rPr>
          <w:rFonts w:cs="Traditional Arabic"/>
          <w:sz w:val="20"/>
          <w:szCs w:val="30"/>
          <w:rtl/>
        </w:rPr>
        <w:t xml:space="preserve"> 2050، يحظى فيها التنوع البيولوجي بالتقدير ويُسعى إلى حفظه وإصلاحه واستخدامه بحكمة، على نحو يصون خدمات النظام الإيكولوجي، ويعمل على استدامة كوكب سليم ويقد</w:t>
      </w:r>
      <w:r>
        <w:rPr>
          <w:rFonts w:cs="Traditional Arabic"/>
          <w:sz w:val="20"/>
          <w:szCs w:val="30"/>
          <w:rtl/>
        </w:rPr>
        <w:t>م المنافع الأساسية لجميع الشعوب</w:t>
      </w:r>
      <w:r>
        <w:rPr>
          <w:rFonts w:cs="Traditional Arabic" w:hint="cs"/>
          <w:sz w:val="20"/>
          <w:szCs w:val="30"/>
          <w:rtl/>
        </w:rPr>
        <w:t>،</w:t>
      </w:r>
    </w:p>
    <w:p w:rsidR="00302A2D" w:rsidRPr="007E0BB0" w:rsidRDefault="00302A2D" w:rsidP="00302A2D">
      <w:pPr>
        <w:spacing w:after="120" w:line="400" w:lineRule="exact"/>
        <w:ind w:left="1134" w:firstLine="849"/>
        <w:jc w:val="both"/>
        <w:rPr>
          <w:rFonts w:cs="Traditional Arabic"/>
          <w:sz w:val="20"/>
          <w:szCs w:val="30"/>
        </w:rPr>
      </w:pPr>
      <w:r w:rsidRPr="007E0BB0">
        <w:rPr>
          <w:rFonts w:cs="Traditional Arabic"/>
          <w:i/>
          <w:iCs/>
          <w:sz w:val="20"/>
          <w:szCs w:val="30"/>
          <w:rtl/>
        </w:rPr>
        <w:t>وإذ تؤكد مجدداً</w:t>
      </w:r>
      <w:r w:rsidRPr="007E0BB0">
        <w:rPr>
          <w:rFonts w:cs="Traditional Arabic"/>
          <w:sz w:val="20"/>
          <w:szCs w:val="30"/>
          <w:rtl/>
        </w:rPr>
        <w:t xml:space="preserve"> على ضرورة تعزيز أوجه التآزر بين الاتفاقات ذات الصلة بالتنوع البيولوجي</w:t>
      </w:r>
      <w:r>
        <w:rPr>
          <w:rFonts w:cs="Traditional Arabic" w:hint="cs"/>
          <w:sz w:val="20"/>
          <w:szCs w:val="30"/>
          <w:rtl/>
        </w:rPr>
        <w:t>،</w:t>
      </w:r>
    </w:p>
    <w:p w:rsidR="00302A2D" w:rsidRPr="007E0BB0" w:rsidRDefault="00302A2D" w:rsidP="00302A2D">
      <w:pPr>
        <w:spacing w:after="120" w:line="400" w:lineRule="exact"/>
        <w:ind w:left="1134" w:firstLine="849"/>
        <w:jc w:val="both"/>
        <w:rPr>
          <w:rFonts w:cs="Traditional Arabic"/>
          <w:sz w:val="20"/>
          <w:szCs w:val="30"/>
        </w:rPr>
      </w:pPr>
      <w:r w:rsidRPr="007E0BB0">
        <w:rPr>
          <w:rFonts w:cs="Traditional Arabic"/>
          <w:i/>
          <w:iCs/>
          <w:sz w:val="20"/>
          <w:szCs w:val="30"/>
          <w:rtl/>
        </w:rPr>
        <w:t>وإذ ت</w:t>
      </w:r>
      <w:r>
        <w:rPr>
          <w:rFonts w:cs="Traditional Arabic" w:hint="cs"/>
          <w:i/>
          <w:iCs/>
          <w:sz w:val="20"/>
          <w:szCs w:val="30"/>
          <w:rtl/>
        </w:rPr>
        <w:t>ؤكد</w:t>
      </w:r>
      <w:r w:rsidRPr="007E0BB0">
        <w:rPr>
          <w:rFonts w:cs="Traditional Arabic"/>
          <w:sz w:val="20"/>
          <w:szCs w:val="30"/>
          <w:rtl/>
        </w:rPr>
        <w:t xml:space="preserve"> أن خطة التنمية المستدامة لعام 2030 تشمل أهدافاً وغايات </w:t>
      </w:r>
      <w:r w:rsidRPr="007E0BB0">
        <w:rPr>
          <w:rFonts w:cs="Traditional Arabic" w:hint="cs"/>
          <w:sz w:val="20"/>
          <w:szCs w:val="30"/>
          <w:rtl/>
        </w:rPr>
        <w:t>ل</w:t>
      </w:r>
      <w:r w:rsidRPr="007E0BB0">
        <w:rPr>
          <w:rFonts w:cs="Traditional Arabic"/>
          <w:sz w:val="20"/>
          <w:szCs w:val="30"/>
          <w:rtl/>
        </w:rPr>
        <w:t xml:space="preserve">تعزيز </w:t>
      </w:r>
      <w:r w:rsidRPr="007E0BB0">
        <w:rPr>
          <w:rFonts w:cs="Traditional Arabic" w:hint="cs"/>
          <w:sz w:val="20"/>
          <w:szCs w:val="30"/>
          <w:rtl/>
        </w:rPr>
        <w:t>الحفظ والاستخدام المستدام ل</w:t>
      </w:r>
      <w:r w:rsidRPr="007E0BB0">
        <w:rPr>
          <w:rFonts w:cs="Traditional Arabic"/>
          <w:sz w:val="20"/>
          <w:szCs w:val="30"/>
          <w:rtl/>
        </w:rPr>
        <w:t>لتنوع البيولوجي والنظم الإيكولوجية ذات الأولوية</w:t>
      </w:r>
      <w:r w:rsidRPr="007E0BB0">
        <w:rPr>
          <w:rFonts w:cs="Traditional Arabic" w:hint="cs"/>
          <w:sz w:val="20"/>
          <w:szCs w:val="30"/>
          <w:rtl/>
        </w:rPr>
        <w:t xml:space="preserve"> من أجل النهوض </w:t>
      </w:r>
      <w:r w:rsidRPr="007E0BB0">
        <w:rPr>
          <w:rFonts w:cs="Traditional Arabic"/>
          <w:sz w:val="20"/>
          <w:szCs w:val="30"/>
          <w:rtl/>
        </w:rPr>
        <w:t>بالرفاه الاجتماعي</w:t>
      </w:r>
      <w:r w:rsidRPr="007E0BB0">
        <w:rPr>
          <w:rFonts w:cs="Traditional Arabic" w:hint="cs"/>
          <w:sz w:val="20"/>
          <w:szCs w:val="30"/>
          <w:rtl/>
        </w:rPr>
        <w:t>،</w:t>
      </w:r>
      <w:r w:rsidRPr="007E0BB0">
        <w:rPr>
          <w:rFonts w:cs="Traditional Arabic"/>
          <w:sz w:val="20"/>
          <w:szCs w:val="30"/>
          <w:rtl/>
        </w:rPr>
        <w:t xml:space="preserve"> </w:t>
      </w:r>
      <w:r w:rsidRPr="007E0BB0">
        <w:rPr>
          <w:rFonts w:cs="Traditional Arabic" w:hint="cs"/>
          <w:sz w:val="20"/>
          <w:szCs w:val="30"/>
          <w:rtl/>
        </w:rPr>
        <w:t>و</w:t>
      </w:r>
      <w:r w:rsidRPr="007E0BB0">
        <w:rPr>
          <w:rFonts w:cs="Traditional Arabic"/>
          <w:sz w:val="20"/>
          <w:szCs w:val="30"/>
          <w:rtl/>
        </w:rPr>
        <w:t>النمو الاقتصادي وحماية البيئة عن طريق تطبيق الن</w:t>
      </w:r>
      <w:r>
        <w:rPr>
          <w:rFonts w:cs="Traditional Arabic" w:hint="cs"/>
          <w:sz w:val="20"/>
          <w:szCs w:val="30"/>
          <w:rtl/>
        </w:rPr>
        <w:t>ُ</w:t>
      </w:r>
      <w:r w:rsidRPr="007E0BB0">
        <w:rPr>
          <w:rFonts w:cs="Traditional Arabic"/>
          <w:sz w:val="20"/>
          <w:szCs w:val="30"/>
          <w:rtl/>
        </w:rPr>
        <w:t>هج المتكاملة</w:t>
      </w:r>
      <w:r>
        <w:rPr>
          <w:rFonts w:cs="Traditional Arabic" w:hint="cs"/>
          <w:sz w:val="20"/>
          <w:szCs w:val="30"/>
          <w:rtl/>
        </w:rPr>
        <w:t>،</w:t>
      </w:r>
    </w:p>
    <w:p w:rsidR="00302A2D" w:rsidRPr="007E0BB0" w:rsidRDefault="00302A2D" w:rsidP="00302A2D">
      <w:pPr>
        <w:spacing w:after="120" w:line="400" w:lineRule="exact"/>
        <w:ind w:left="1134" w:firstLine="849"/>
        <w:jc w:val="both"/>
        <w:rPr>
          <w:rFonts w:cs="Traditional Arabic"/>
          <w:sz w:val="20"/>
          <w:szCs w:val="30"/>
        </w:rPr>
      </w:pPr>
      <w:r w:rsidRPr="007E0BB0">
        <w:rPr>
          <w:rFonts w:cs="Traditional Arabic"/>
          <w:i/>
          <w:iCs/>
          <w:sz w:val="20"/>
          <w:szCs w:val="30"/>
          <w:rtl/>
        </w:rPr>
        <w:t>وإذ ت</w:t>
      </w:r>
      <w:r>
        <w:rPr>
          <w:rFonts w:cs="Traditional Arabic" w:hint="cs"/>
          <w:i/>
          <w:iCs/>
          <w:sz w:val="20"/>
          <w:szCs w:val="30"/>
          <w:rtl/>
        </w:rPr>
        <w:t>ؤكد</w:t>
      </w:r>
      <w:r w:rsidRPr="007E0BB0">
        <w:rPr>
          <w:rFonts w:cs="Traditional Arabic"/>
          <w:i/>
          <w:iCs/>
          <w:sz w:val="20"/>
          <w:szCs w:val="30"/>
          <w:rtl/>
        </w:rPr>
        <w:t xml:space="preserve"> أيضاً</w:t>
      </w:r>
      <w:r w:rsidRPr="007E0BB0">
        <w:rPr>
          <w:rFonts w:cs="Traditional Arabic"/>
          <w:sz w:val="20"/>
          <w:szCs w:val="30"/>
          <w:rtl/>
        </w:rPr>
        <w:t xml:space="preserve"> أهمية اعتماد وتنفيذ السياسات والمبادئ التوجيهية الرامية إلى إدماج التنوع البيولوجي واستخدامه على نحو مستدام في جميع القطاعات ذات الصلة لضمان تنفيذ الخطة الاستراتيجية للتنوع البيولوجي للفترة 2011-2020 وأهداف آي</w:t>
      </w:r>
      <w:r>
        <w:rPr>
          <w:rFonts w:cs="Traditional Arabic" w:hint="cs"/>
          <w:sz w:val="20"/>
          <w:szCs w:val="30"/>
          <w:rtl/>
        </w:rPr>
        <w:t>ت</w:t>
      </w:r>
      <w:r w:rsidRPr="007E0BB0">
        <w:rPr>
          <w:rFonts w:cs="Traditional Arabic"/>
          <w:sz w:val="20"/>
          <w:szCs w:val="30"/>
          <w:rtl/>
        </w:rPr>
        <w:t>شي المتعلقة بالتنوع البيولوجي، وخطة التنمية المستدامة لعام 2030 وأهداف التنمية المستدامة</w:t>
      </w:r>
      <w:r>
        <w:rPr>
          <w:rFonts w:cs="Traditional Arabic" w:hint="cs"/>
          <w:sz w:val="20"/>
          <w:szCs w:val="30"/>
          <w:rtl/>
        </w:rPr>
        <w:t>،</w:t>
      </w:r>
    </w:p>
    <w:p w:rsidR="00302A2D" w:rsidRPr="007E0BB0" w:rsidRDefault="00302A2D" w:rsidP="00302A2D">
      <w:pPr>
        <w:tabs>
          <w:tab w:val="left" w:pos="2692"/>
        </w:tabs>
        <w:spacing w:after="120" w:line="400" w:lineRule="exact"/>
        <w:ind w:left="1134" w:firstLine="849"/>
        <w:jc w:val="both"/>
        <w:rPr>
          <w:rFonts w:cs="Traditional Arabic"/>
          <w:sz w:val="20"/>
          <w:szCs w:val="30"/>
        </w:rPr>
      </w:pPr>
      <w:r>
        <w:rPr>
          <w:rFonts w:cs="Traditional Arabic" w:hint="cs"/>
          <w:sz w:val="20"/>
          <w:szCs w:val="30"/>
          <w:rtl/>
        </w:rPr>
        <w:t>1</w:t>
      </w:r>
      <w:r w:rsidRPr="007E0BB0">
        <w:rPr>
          <w:rFonts w:cs="Traditional Arabic"/>
          <w:sz w:val="20"/>
          <w:szCs w:val="30"/>
          <w:rtl/>
        </w:rPr>
        <w:t>-</w:t>
      </w:r>
      <w:r w:rsidRPr="007E0BB0">
        <w:rPr>
          <w:rFonts w:cs="Traditional Arabic"/>
          <w:sz w:val="20"/>
          <w:szCs w:val="30"/>
          <w:rtl/>
        </w:rPr>
        <w:tab/>
      </w:r>
      <w:r w:rsidRPr="00E577DB">
        <w:rPr>
          <w:rFonts w:cs="Traditional Arabic"/>
          <w:i/>
          <w:iCs/>
          <w:sz w:val="20"/>
          <w:szCs w:val="30"/>
          <w:rtl/>
        </w:rPr>
        <w:t>تلاحظ</w:t>
      </w:r>
      <w:r w:rsidRPr="007E0BB0">
        <w:rPr>
          <w:rFonts w:cs="Traditional Arabic"/>
          <w:sz w:val="20"/>
          <w:szCs w:val="30"/>
          <w:rtl/>
        </w:rPr>
        <w:t xml:space="preserve"> أن الاجتماع الثالث عشر لمؤتمر الأطراف في اتفاقية التنوع البيولوجي، والاجتماع الثامن</w:t>
      </w:r>
      <w:r>
        <w:rPr>
          <w:rFonts w:cs="Traditional Arabic" w:hint="cs"/>
          <w:sz w:val="20"/>
          <w:szCs w:val="30"/>
          <w:rtl/>
        </w:rPr>
        <w:t xml:space="preserve"> لمؤتمر الأطراف الذي يعد بمثابة اجتماع للأطراف</w:t>
      </w:r>
      <w:r w:rsidRPr="007E0BB0">
        <w:rPr>
          <w:rFonts w:cs="Traditional Arabic"/>
          <w:sz w:val="20"/>
          <w:szCs w:val="30"/>
          <w:rtl/>
        </w:rPr>
        <w:t xml:space="preserve"> </w:t>
      </w:r>
      <w:r>
        <w:rPr>
          <w:rFonts w:cs="Traditional Arabic" w:hint="cs"/>
          <w:sz w:val="20"/>
          <w:szCs w:val="30"/>
          <w:rtl/>
        </w:rPr>
        <w:t xml:space="preserve">في </w:t>
      </w:r>
      <w:r w:rsidRPr="007E0BB0">
        <w:rPr>
          <w:rFonts w:cs="Traditional Arabic"/>
          <w:sz w:val="20"/>
          <w:szCs w:val="30"/>
          <w:rtl/>
        </w:rPr>
        <w:t xml:space="preserve">بروتوكول </w:t>
      </w:r>
      <w:r>
        <w:rPr>
          <w:rFonts w:cs="Traditional Arabic" w:hint="cs"/>
          <w:sz w:val="20"/>
          <w:szCs w:val="30"/>
          <w:rtl/>
        </w:rPr>
        <w:t>كارتاخينا</w:t>
      </w:r>
      <w:r w:rsidRPr="007E0BB0">
        <w:rPr>
          <w:rFonts w:cs="Traditional Arabic"/>
          <w:sz w:val="20"/>
          <w:szCs w:val="30"/>
          <w:rtl/>
        </w:rPr>
        <w:t xml:space="preserve"> ب</w:t>
      </w:r>
      <w:r>
        <w:rPr>
          <w:rFonts w:cs="Traditional Arabic" w:hint="cs"/>
          <w:sz w:val="20"/>
          <w:szCs w:val="30"/>
          <w:rtl/>
        </w:rPr>
        <w:t xml:space="preserve">شأن </w:t>
      </w:r>
      <w:r w:rsidRPr="007E0BB0">
        <w:rPr>
          <w:rFonts w:cs="Traditional Arabic"/>
          <w:sz w:val="20"/>
          <w:szCs w:val="30"/>
          <w:rtl/>
        </w:rPr>
        <w:t xml:space="preserve">السلامة </w:t>
      </w:r>
      <w:r>
        <w:rPr>
          <w:rFonts w:cs="Traditional Arabic" w:hint="cs"/>
          <w:sz w:val="20"/>
          <w:szCs w:val="30"/>
          <w:rtl/>
        </w:rPr>
        <w:t>الأحيائية</w:t>
      </w:r>
      <w:r w:rsidRPr="007E0BB0">
        <w:rPr>
          <w:rFonts w:cs="Traditional Arabic" w:hint="cs"/>
          <w:sz w:val="20"/>
          <w:szCs w:val="30"/>
          <w:rtl/>
        </w:rPr>
        <w:t>،</w:t>
      </w:r>
      <w:r w:rsidRPr="007E0BB0">
        <w:rPr>
          <w:rFonts w:cs="Traditional Arabic"/>
          <w:sz w:val="20"/>
          <w:szCs w:val="30"/>
          <w:rtl/>
        </w:rPr>
        <w:t xml:space="preserve"> </w:t>
      </w:r>
      <w:r w:rsidRPr="007E0BB0">
        <w:rPr>
          <w:rFonts w:cs="Traditional Arabic"/>
          <w:sz w:val="20"/>
          <w:szCs w:val="30"/>
          <w:rtl/>
        </w:rPr>
        <w:lastRenderedPageBreak/>
        <w:t>والاجتماع الثاني</w:t>
      </w:r>
      <w:r>
        <w:rPr>
          <w:rFonts w:cs="Traditional Arabic" w:hint="cs"/>
          <w:sz w:val="20"/>
          <w:szCs w:val="30"/>
          <w:rtl/>
        </w:rPr>
        <w:t xml:space="preserve"> لمؤتمر الأطراف الذي يعد بمثابة اجتماع للأطراف في</w:t>
      </w:r>
      <w:r w:rsidRPr="007E0BB0">
        <w:rPr>
          <w:rFonts w:cs="Traditional Arabic"/>
          <w:sz w:val="20"/>
          <w:szCs w:val="30"/>
          <w:rtl/>
        </w:rPr>
        <w:t xml:space="preserve"> بروتوكول ناغويا بشأن الحصول على الموارد الجينية والتقاسم العادل والمنصف للمنافع الناشئة عن استخدامها</w:t>
      </w:r>
      <w:r w:rsidRPr="007E0BB0">
        <w:rPr>
          <w:rFonts w:cs="Traditional Arabic" w:hint="cs"/>
          <w:sz w:val="20"/>
          <w:szCs w:val="30"/>
          <w:rtl/>
        </w:rPr>
        <w:t>،</w:t>
      </w:r>
      <w:r w:rsidRPr="007E0BB0">
        <w:rPr>
          <w:rFonts w:cs="Traditional Arabic"/>
          <w:sz w:val="20"/>
          <w:szCs w:val="30"/>
          <w:rtl/>
        </w:rPr>
        <w:t xml:space="preserve"> ستعقد في كانكون، المكسيك، في الفترة من 4 إلى 17 كانون الأول/ديسمبر 2016، تحت </w:t>
      </w:r>
      <w:r w:rsidRPr="007E0BB0">
        <w:rPr>
          <w:rFonts w:cs="Traditional Arabic" w:hint="cs"/>
          <w:sz w:val="20"/>
          <w:szCs w:val="30"/>
          <w:rtl/>
        </w:rPr>
        <w:t>عنوان</w:t>
      </w:r>
      <w:r w:rsidRPr="007E0BB0">
        <w:rPr>
          <w:rFonts w:cs="Traditional Arabic"/>
          <w:sz w:val="20"/>
          <w:szCs w:val="30"/>
          <w:rtl/>
        </w:rPr>
        <w:t xml:space="preserve"> ”تعميم مراعاة التنوع البيولوجي من أجل</w:t>
      </w:r>
      <w:r w:rsidRPr="007E0BB0">
        <w:rPr>
          <w:rFonts w:cs="Traditional Arabic" w:hint="cs"/>
          <w:sz w:val="20"/>
          <w:szCs w:val="30"/>
          <w:rtl/>
        </w:rPr>
        <w:t xml:space="preserve"> تحقيق</w:t>
      </w:r>
      <w:r w:rsidRPr="007E0BB0">
        <w:rPr>
          <w:rFonts w:cs="Traditional Arabic"/>
          <w:sz w:val="20"/>
          <w:szCs w:val="30"/>
          <w:rtl/>
        </w:rPr>
        <w:t xml:space="preserve"> الرفاه</w:t>
      </w:r>
      <w:r>
        <w:rPr>
          <w:rFonts w:cs="Traditional Arabic" w:hint="cs"/>
          <w:sz w:val="20"/>
          <w:szCs w:val="30"/>
          <w:rtl/>
        </w:rPr>
        <w:t xml:space="preserve"> للبشرية</w:t>
      </w:r>
      <w:r w:rsidRPr="007E0BB0">
        <w:rPr>
          <w:rFonts w:cs="Traditional Arabic"/>
          <w:sz w:val="20"/>
          <w:szCs w:val="30"/>
          <w:rtl/>
        </w:rPr>
        <w:t>“؛</w:t>
      </w:r>
    </w:p>
    <w:p w:rsidR="00302A2D" w:rsidRPr="007E0BB0" w:rsidRDefault="00302A2D" w:rsidP="00302A2D">
      <w:pPr>
        <w:tabs>
          <w:tab w:val="left" w:pos="2692"/>
        </w:tabs>
        <w:spacing w:after="120" w:line="400" w:lineRule="exact"/>
        <w:ind w:left="1134" w:firstLine="849"/>
        <w:jc w:val="both"/>
        <w:rPr>
          <w:rFonts w:cs="Traditional Arabic"/>
          <w:sz w:val="20"/>
          <w:szCs w:val="30"/>
        </w:rPr>
      </w:pPr>
      <w:r>
        <w:rPr>
          <w:rFonts w:cs="Traditional Arabic" w:hint="cs"/>
          <w:sz w:val="20"/>
          <w:szCs w:val="30"/>
          <w:rtl/>
        </w:rPr>
        <w:t>2</w:t>
      </w:r>
      <w:r w:rsidRPr="007E0BB0">
        <w:rPr>
          <w:rFonts w:cs="Traditional Arabic"/>
          <w:sz w:val="20"/>
          <w:szCs w:val="30"/>
          <w:rtl/>
        </w:rPr>
        <w:t>-</w:t>
      </w:r>
      <w:r w:rsidRPr="007E0BB0">
        <w:rPr>
          <w:rFonts w:cs="Traditional Arabic"/>
          <w:sz w:val="20"/>
          <w:szCs w:val="30"/>
          <w:rtl/>
        </w:rPr>
        <w:tab/>
      </w:r>
      <w:r w:rsidRPr="007E0BB0">
        <w:rPr>
          <w:rFonts w:cs="Traditional Arabic"/>
          <w:i/>
          <w:iCs/>
          <w:sz w:val="20"/>
          <w:szCs w:val="30"/>
          <w:rtl/>
        </w:rPr>
        <w:t>تشدد</w:t>
      </w:r>
      <w:r w:rsidRPr="007E0BB0">
        <w:rPr>
          <w:rFonts w:cs="Traditional Arabic"/>
          <w:sz w:val="20"/>
          <w:szCs w:val="30"/>
          <w:rtl/>
        </w:rPr>
        <w:t xml:space="preserve"> </w:t>
      </w:r>
      <w:r w:rsidRPr="00666324">
        <w:rPr>
          <w:rFonts w:cs="Traditional Arabic"/>
          <w:i/>
          <w:iCs/>
          <w:sz w:val="20"/>
          <w:szCs w:val="30"/>
          <w:rtl/>
        </w:rPr>
        <w:t>على</w:t>
      </w:r>
      <w:r w:rsidRPr="007E0BB0">
        <w:rPr>
          <w:rFonts w:cs="Traditional Arabic"/>
          <w:sz w:val="20"/>
          <w:szCs w:val="30"/>
          <w:rtl/>
        </w:rPr>
        <w:t xml:space="preserve"> أن الاجتماع الثالث عشر لمؤتمر الأطراف في اتفاقية التنوع البيولوجي يمثل فرصة من أجل المواءمة، عند الاقتضاء، للخطط والبرامج والالتزامات المعتمدة في إطار تلك الصكوك الدولية مع المبادئ والنُهُج المبينة في خطة التنمية المستدامة لعام 2030، بهدف تنشيط الدعم السياسي للجهود المبذولة على جميع المستويات من أجل تحقيق الإد</w:t>
      </w:r>
      <w:r>
        <w:rPr>
          <w:rFonts w:cs="Traditional Arabic"/>
          <w:sz w:val="20"/>
          <w:szCs w:val="30"/>
          <w:rtl/>
        </w:rPr>
        <w:t>ارة المستدامة للموارد الطبيعية؛</w:t>
      </w:r>
    </w:p>
    <w:p w:rsidR="00302A2D" w:rsidRPr="007E0BB0" w:rsidRDefault="00302A2D" w:rsidP="00302A2D">
      <w:pPr>
        <w:tabs>
          <w:tab w:val="left" w:pos="2692"/>
        </w:tabs>
        <w:spacing w:after="120" w:line="400" w:lineRule="exact"/>
        <w:ind w:left="1134" w:firstLine="849"/>
        <w:jc w:val="both"/>
        <w:rPr>
          <w:rFonts w:cs="Traditional Arabic"/>
          <w:sz w:val="20"/>
          <w:szCs w:val="30"/>
        </w:rPr>
      </w:pPr>
      <w:r>
        <w:rPr>
          <w:rFonts w:cs="Traditional Arabic" w:hint="cs"/>
          <w:sz w:val="20"/>
          <w:szCs w:val="30"/>
          <w:rtl/>
        </w:rPr>
        <w:t>3</w:t>
      </w:r>
      <w:r w:rsidRPr="007E0BB0">
        <w:rPr>
          <w:rFonts w:cs="Traditional Arabic"/>
          <w:sz w:val="20"/>
          <w:szCs w:val="30"/>
          <w:rtl/>
        </w:rPr>
        <w:t>-</w:t>
      </w:r>
      <w:r w:rsidRPr="007E0BB0">
        <w:rPr>
          <w:rFonts w:cs="Traditional Arabic"/>
          <w:sz w:val="20"/>
          <w:szCs w:val="30"/>
          <w:rtl/>
        </w:rPr>
        <w:tab/>
      </w:r>
      <w:r w:rsidRPr="007E0BB0">
        <w:rPr>
          <w:rFonts w:cs="Traditional Arabic"/>
          <w:i/>
          <w:iCs/>
          <w:sz w:val="20"/>
          <w:szCs w:val="30"/>
          <w:rtl/>
        </w:rPr>
        <w:t>تؤكد</w:t>
      </w:r>
      <w:r w:rsidRPr="007E0BB0">
        <w:rPr>
          <w:rFonts w:cs="Traditional Arabic" w:hint="cs"/>
          <w:sz w:val="20"/>
          <w:szCs w:val="30"/>
          <w:rtl/>
        </w:rPr>
        <w:t xml:space="preserve"> </w:t>
      </w:r>
      <w:r w:rsidRPr="00666324">
        <w:rPr>
          <w:rFonts w:cs="Traditional Arabic" w:hint="cs"/>
          <w:i/>
          <w:iCs/>
          <w:sz w:val="20"/>
          <w:szCs w:val="30"/>
          <w:rtl/>
        </w:rPr>
        <w:t>على</w:t>
      </w:r>
      <w:r w:rsidRPr="007E0BB0">
        <w:rPr>
          <w:rFonts w:cs="Traditional Arabic"/>
          <w:sz w:val="20"/>
          <w:szCs w:val="30"/>
          <w:rtl/>
        </w:rPr>
        <w:t xml:space="preserve"> أن إدماج السياسات الواردة في خطة التنمية المستدامة لعام 2030 يمثل نهجاً ملائماً لتعزيز حفظ التنوع البيولوجي واستخدامه المستدام في مختلف القطاعات، بما في ذلك الزراعة، والحراجة، ومصائد الأسماك</w:t>
      </w:r>
      <w:r w:rsidRPr="007E0BB0">
        <w:rPr>
          <w:rFonts w:cs="Traditional Arabic" w:hint="cs"/>
          <w:sz w:val="20"/>
          <w:szCs w:val="30"/>
          <w:rtl/>
        </w:rPr>
        <w:t>،</w:t>
      </w:r>
      <w:r w:rsidRPr="007E0BB0">
        <w:rPr>
          <w:rFonts w:cs="Traditional Arabic"/>
          <w:sz w:val="20"/>
          <w:szCs w:val="30"/>
          <w:rtl/>
        </w:rPr>
        <w:t xml:space="preserve"> والسياحة، وغيرها من المجالات، التي تكون مترابطة، في جملة أمور، مع الأمن الغذائي، والنمو الاقتصادي، والصحة البشرية، وتحسين الظروف المعيشية والتمتع ببيئة سليمة؛ وتدعو الدول الأعضاء إلى تعزيز النهج المتكامل في سياساتها الوطنية، مع مراعاة اختلاف الظروف والقدرات ومستويات التنمية على الصعد الوطنية</w:t>
      </w:r>
      <w:r>
        <w:rPr>
          <w:rFonts w:cs="Traditional Arabic" w:hint="cs"/>
          <w:sz w:val="20"/>
          <w:szCs w:val="30"/>
          <w:rtl/>
        </w:rPr>
        <w:t>؛</w:t>
      </w:r>
    </w:p>
    <w:p w:rsidR="00302A2D" w:rsidRDefault="00302A2D" w:rsidP="00302A2D">
      <w:pPr>
        <w:tabs>
          <w:tab w:val="left" w:pos="2692"/>
        </w:tabs>
        <w:spacing w:after="120" w:line="400" w:lineRule="exact"/>
        <w:ind w:left="1134" w:firstLine="849"/>
        <w:jc w:val="both"/>
        <w:rPr>
          <w:rFonts w:cs="Traditional Arabic"/>
          <w:sz w:val="20"/>
          <w:szCs w:val="30"/>
        </w:rPr>
      </w:pPr>
      <w:r>
        <w:rPr>
          <w:rFonts w:cs="Traditional Arabic" w:hint="cs"/>
          <w:sz w:val="20"/>
          <w:szCs w:val="30"/>
          <w:rtl/>
        </w:rPr>
        <w:t>4</w:t>
      </w:r>
      <w:r w:rsidRPr="007E0BB0">
        <w:rPr>
          <w:rFonts w:cs="Traditional Arabic"/>
          <w:sz w:val="20"/>
          <w:szCs w:val="30"/>
          <w:rtl/>
        </w:rPr>
        <w:t>-</w:t>
      </w:r>
      <w:r w:rsidRPr="007E0BB0">
        <w:rPr>
          <w:rFonts w:cs="Traditional Arabic"/>
          <w:sz w:val="20"/>
          <w:szCs w:val="30"/>
          <w:rtl/>
        </w:rPr>
        <w:tab/>
      </w:r>
      <w:r w:rsidRPr="007E0BB0">
        <w:rPr>
          <w:rFonts w:cs="Traditional Arabic"/>
          <w:i/>
          <w:iCs/>
          <w:sz w:val="20"/>
          <w:szCs w:val="30"/>
          <w:rtl/>
        </w:rPr>
        <w:t xml:space="preserve">تعرب </w:t>
      </w:r>
      <w:r w:rsidRPr="00337953">
        <w:rPr>
          <w:rFonts w:cs="Traditional Arabic"/>
          <w:sz w:val="20"/>
          <w:szCs w:val="30"/>
          <w:rtl/>
        </w:rPr>
        <w:t>عن امتنانها</w:t>
      </w:r>
      <w:r w:rsidRPr="007E0BB0">
        <w:rPr>
          <w:rFonts w:cs="Traditional Arabic"/>
          <w:sz w:val="20"/>
          <w:szCs w:val="30"/>
          <w:rtl/>
        </w:rPr>
        <w:t xml:space="preserve"> ودعمها لحكومة المكسيك بوصفها البلد المضيف للاجتماع الثالث عشر لمؤتمر الأطراف في اتفاقية التنوع البيولوجي، وتدعو جميع الأطراف المجتمعة إلى المشاركة على نحو بنّاء من أجل التوصل إلى اتفاقات من شأنها أن تسهم في تحقيق أهداف الاتفاقية.</w:t>
      </w:r>
    </w:p>
    <w:p w:rsidR="00302A2D" w:rsidRPr="007E0BB0" w:rsidRDefault="00302A2D" w:rsidP="00302A2D">
      <w:pPr>
        <w:spacing w:after="120" w:line="400" w:lineRule="exact"/>
        <w:ind w:left="1134" w:hanging="2"/>
        <w:jc w:val="center"/>
        <w:rPr>
          <w:rFonts w:cs="Traditional Arabic"/>
          <w:sz w:val="20"/>
          <w:szCs w:val="30"/>
          <w:rtl/>
        </w:rPr>
      </w:pPr>
      <w:r>
        <w:rPr>
          <w:rFonts w:cs="Traditional Arabic"/>
          <w:sz w:val="20"/>
          <w:szCs w:val="30"/>
        </w:rPr>
        <w:t>_____________</w:t>
      </w:r>
    </w:p>
    <w:sectPr w:rsidR="00302A2D" w:rsidRPr="007E0BB0" w:rsidSect="009E5574">
      <w:headerReference w:type="even" r:id="rId11"/>
      <w:headerReference w:type="default" r:id="rId12"/>
      <w:footerReference w:type="even" r:id="rId13"/>
      <w:footerReference w:type="default" r:id="rId14"/>
      <w:footerReference w:type="first" r:id="rId15"/>
      <w:endnotePr>
        <w:numFmt w:val="lowerLetter"/>
      </w:endnotePr>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60" w:rsidRDefault="00E32D60">
      <w:r>
        <w:separator/>
      </w:r>
    </w:p>
  </w:endnote>
  <w:endnote w:type="continuationSeparator" w:id="0">
    <w:p w:rsidR="00E32D60" w:rsidRDefault="00E3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auto"/>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CF" w:rsidRPr="0012040B" w:rsidRDefault="00CB08CF" w:rsidP="0012040B">
    <w:pPr>
      <w:pStyle w:val="Footer"/>
      <w:bidi w:val="0"/>
      <w:rPr>
        <w:rFonts w:ascii="Times New Roman" w:hAnsi="Times New Roman" w:cs="Times New Roman"/>
        <w:sz w:val="22"/>
        <w:szCs w:val="20"/>
        <w:rtl/>
      </w:rPr>
    </w:pPr>
    <w:r>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Pr>
      <w:fldChar w:fldCharType="separate"/>
    </w:r>
    <w:r w:rsidR="00A57CED">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CF" w:rsidRPr="00780A9D" w:rsidRDefault="00CB08CF" w:rsidP="00780A9D">
    <w:pPr>
      <w:pStyle w:val="Footer"/>
      <w:tabs>
        <w:tab w:val="clear" w:pos="4153"/>
        <w:tab w:val="clear" w:pos="8306"/>
      </w:tabs>
      <w:bidi w:val="0"/>
      <w:jc w:val="left"/>
      <w:rPr>
        <w:rFonts w:ascii="Times New Roman" w:hAnsi="Times New Roman" w:cs="Times New Roman"/>
        <w:szCs w:val="20"/>
        <w:rtl/>
      </w:rPr>
    </w:pPr>
    <w:r w:rsidRPr="00780A9D">
      <w:rPr>
        <w:rStyle w:val="PageNumber"/>
        <w:rFonts w:ascii="Times New Roman" w:hAnsi="Times New Roman" w:cs="Times New Roman"/>
        <w:szCs w:val="20"/>
      </w:rPr>
      <w:fldChar w:fldCharType="begin"/>
    </w:r>
    <w:r w:rsidRPr="00780A9D">
      <w:rPr>
        <w:rStyle w:val="PageNumber"/>
        <w:rFonts w:ascii="Times New Roman" w:hAnsi="Times New Roman" w:cs="Times New Roman"/>
        <w:szCs w:val="20"/>
      </w:rPr>
      <w:instrText xml:space="preserve"> PAGE </w:instrText>
    </w:r>
    <w:r w:rsidRPr="00780A9D">
      <w:rPr>
        <w:rStyle w:val="PageNumber"/>
        <w:rFonts w:ascii="Times New Roman" w:hAnsi="Times New Roman" w:cs="Times New Roman"/>
        <w:szCs w:val="20"/>
      </w:rPr>
      <w:fldChar w:fldCharType="separate"/>
    </w:r>
    <w:r w:rsidR="00302A2D">
      <w:rPr>
        <w:rStyle w:val="PageNumber"/>
        <w:rFonts w:ascii="Times New Roman" w:hAnsi="Times New Roman" w:cs="Times New Roman"/>
        <w:szCs w:val="20"/>
      </w:rPr>
      <w:t>3</w:t>
    </w:r>
    <w:r w:rsidRPr="00780A9D">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CF" w:rsidRDefault="00CB08CF" w:rsidP="007F5668">
    <w:pPr>
      <w:spacing w:before="120" w:line="240" w:lineRule="exact"/>
      <w:jc w:val="both"/>
      <w:rPr>
        <w:rFonts w:cs="Times New Roman"/>
        <w:sz w:val="20"/>
        <w:szCs w:val="20"/>
        <w:rtl/>
      </w:rPr>
    </w:pPr>
    <w:r w:rsidRPr="005C55FF">
      <w:rPr>
        <w:rFonts w:cs="Times New Roman"/>
        <w:sz w:val="20"/>
        <w:szCs w:val="20"/>
      </w:rPr>
      <w:t>K</w:t>
    </w:r>
    <w:r>
      <w:rPr>
        <w:rFonts w:cs="Times New Roman"/>
        <w:sz w:val="20"/>
        <w:szCs w:val="20"/>
      </w:rPr>
      <w:t>160</w:t>
    </w:r>
    <w:r w:rsidR="007F5668">
      <w:rPr>
        <w:rFonts w:cs="Times New Roman"/>
        <w:sz w:val="20"/>
        <w:szCs w:val="20"/>
      </w:rPr>
      <w:t>7238</w:t>
    </w:r>
    <w:r w:rsidRPr="005C55FF">
      <w:rPr>
        <w:rFonts w:cs="Times New Roman"/>
        <w:sz w:val="20"/>
        <w:szCs w:val="20"/>
      </w:rPr>
      <w:tab/>
    </w:r>
    <w:r>
      <w:rPr>
        <w:rFonts w:cs="Times New Roman"/>
        <w:sz w:val="20"/>
        <w:szCs w:val="20"/>
      </w:rPr>
      <w:t>0</w:t>
    </w:r>
    <w:r w:rsidR="00B70CA8">
      <w:rPr>
        <w:rFonts w:cs="Times New Roman"/>
        <w:sz w:val="20"/>
        <w:szCs w:val="20"/>
      </w:rPr>
      <w:t>6</w:t>
    </w:r>
    <w:r>
      <w:rPr>
        <w:rFonts w:cs="Times New Roman"/>
        <w:sz w:val="20"/>
        <w:szCs w:val="20"/>
      </w:rPr>
      <w:t>0</w:t>
    </w:r>
    <w:r w:rsidR="00B70CA8">
      <w:rPr>
        <w:rFonts w:cs="Times New Roman"/>
        <w:sz w:val="20"/>
        <w:szCs w:val="20"/>
      </w:rPr>
      <w:t>9</w:t>
    </w:r>
    <w:r>
      <w:rPr>
        <w:rFonts w:cs="Times New Roman"/>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60" w:rsidRDefault="00E32D60">
      <w:r>
        <w:separator/>
      </w:r>
    </w:p>
  </w:footnote>
  <w:footnote w:type="continuationSeparator" w:id="0">
    <w:p w:rsidR="00E32D60" w:rsidRDefault="00E3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CF" w:rsidRPr="004E37A4" w:rsidRDefault="004E37A4" w:rsidP="007F5668">
    <w:pPr>
      <w:pBdr>
        <w:bottom w:val="single" w:sz="4" w:space="1" w:color="auto"/>
      </w:pBdr>
      <w:bidi w:val="0"/>
      <w:spacing w:before="20" w:after="40"/>
      <w:jc w:val="right"/>
      <w:rPr>
        <w:b/>
        <w:bCs/>
        <w:sz w:val="17"/>
        <w:szCs w:val="17"/>
        <w:rtl/>
        <w:lang w:val="fr-FR"/>
      </w:rPr>
    </w:pPr>
    <w:r w:rsidRPr="004E37A4">
      <w:rPr>
        <w:b/>
        <w:bCs/>
        <w:sz w:val="17"/>
        <w:szCs w:val="17"/>
        <w:lang w:val="en-GB"/>
      </w:rPr>
      <w:t>UNEP/EA.2/Res.</w:t>
    </w:r>
    <w:r w:rsidR="007F5668">
      <w:rPr>
        <w:b/>
        <w:bCs/>
        <w:sz w:val="17"/>
        <w:szCs w:val="17"/>
        <w:lang w:val="en-GB"/>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CF" w:rsidRPr="004E37A4" w:rsidRDefault="004E37A4" w:rsidP="00FF28C1">
    <w:pPr>
      <w:pBdr>
        <w:bottom w:val="single" w:sz="4" w:space="1" w:color="auto"/>
      </w:pBdr>
      <w:bidi w:val="0"/>
      <w:spacing w:before="20" w:after="40"/>
      <w:rPr>
        <w:rFonts w:asciiTheme="majorBidi" w:hAnsiTheme="majorBidi" w:cstheme="majorBidi"/>
        <w:b/>
        <w:bCs/>
        <w:sz w:val="17"/>
        <w:szCs w:val="17"/>
        <w:rtl/>
        <w:lang w:val="fr-FR"/>
      </w:rPr>
    </w:pPr>
    <w:r w:rsidRPr="004E37A4">
      <w:rPr>
        <w:rFonts w:asciiTheme="majorBidi" w:hAnsiTheme="majorBidi" w:cstheme="majorBidi"/>
        <w:b/>
        <w:bCs/>
        <w:sz w:val="17"/>
        <w:szCs w:val="17"/>
        <w:lang w:val="en-GB"/>
      </w:rPr>
      <w:t>UNEP/EA.2/Res.00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94E0CA"/>
    <w:lvl w:ilvl="0">
      <w:start w:val="1"/>
      <w:numFmt w:val="decimal"/>
      <w:lvlText w:val="%1 -"/>
      <w:lvlJc w:val="left"/>
      <w:pPr>
        <w:tabs>
          <w:tab w:val="num" w:pos="720"/>
        </w:tabs>
        <w:ind w:left="720" w:hanging="360"/>
      </w:pPr>
      <w:rPr>
        <w:rFonts w:hint="default"/>
        <w:sz w:val="20"/>
        <w:szCs w:val="3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4629"/>
    <w:rsid w:val="000242CB"/>
    <w:rsid w:val="000255EE"/>
    <w:rsid w:val="00080DBA"/>
    <w:rsid w:val="000844F9"/>
    <w:rsid w:val="000B4D0B"/>
    <w:rsid w:val="000E24FF"/>
    <w:rsid w:val="00105E16"/>
    <w:rsid w:val="00113EC2"/>
    <w:rsid w:val="0012040B"/>
    <w:rsid w:val="00131CE1"/>
    <w:rsid w:val="00153644"/>
    <w:rsid w:val="00153926"/>
    <w:rsid w:val="00154CC2"/>
    <w:rsid w:val="001602FD"/>
    <w:rsid w:val="00165BE3"/>
    <w:rsid w:val="00170277"/>
    <w:rsid w:val="00177C0C"/>
    <w:rsid w:val="00193855"/>
    <w:rsid w:val="001A7B84"/>
    <w:rsid w:val="001B2671"/>
    <w:rsid w:val="001E4795"/>
    <w:rsid w:val="001F166A"/>
    <w:rsid w:val="00260C3B"/>
    <w:rsid w:val="00261451"/>
    <w:rsid w:val="002626DF"/>
    <w:rsid w:val="0027481A"/>
    <w:rsid w:val="00282759"/>
    <w:rsid w:val="002B0E93"/>
    <w:rsid w:val="002C60AD"/>
    <w:rsid w:val="002D6F30"/>
    <w:rsid w:val="00302A2D"/>
    <w:rsid w:val="00312F45"/>
    <w:rsid w:val="00324C76"/>
    <w:rsid w:val="00333788"/>
    <w:rsid w:val="003609D4"/>
    <w:rsid w:val="00363D25"/>
    <w:rsid w:val="00386BD3"/>
    <w:rsid w:val="003A3C5E"/>
    <w:rsid w:val="003B35D4"/>
    <w:rsid w:val="003D2FFB"/>
    <w:rsid w:val="003D7E80"/>
    <w:rsid w:val="003E4E41"/>
    <w:rsid w:val="003E6D53"/>
    <w:rsid w:val="00405211"/>
    <w:rsid w:val="004073F0"/>
    <w:rsid w:val="00440290"/>
    <w:rsid w:val="00452687"/>
    <w:rsid w:val="004B0A17"/>
    <w:rsid w:val="004B54BC"/>
    <w:rsid w:val="004C5D36"/>
    <w:rsid w:val="004D0E9D"/>
    <w:rsid w:val="004D1F6B"/>
    <w:rsid w:val="004D2B12"/>
    <w:rsid w:val="004D2E76"/>
    <w:rsid w:val="004D6802"/>
    <w:rsid w:val="004E37A4"/>
    <w:rsid w:val="004E5370"/>
    <w:rsid w:val="004E7B30"/>
    <w:rsid w:val="00530F46"/>
    <w:rsid w:val="005945AA"/>
    <w:rsid w:val="005B7D85"/>
    <w:rsid w:val="005C55FF"/>
    <w:rsid w:val="005D4E29"/>
    <w:rsid w:val="005E06C5"/>
    <w:rsid w:val="0060772E"/>
    <w:rsid w:val="006160A4"/>
    <w:rsid w:val="006227F4"/>
    <w:rsid w:val="00642185"/>
    <w:rsid w:val="00652A10"/>
    <w:rsid w:val="00671875"/>
    <w:rsid w:val="0068276E"/>
    <w:rsid w:val="006A00CF"/>
    <w:rsid w:val="006C560D"/>
    <w:rsid w:val="006E487F"/>
    <w:rsid w:val="006E4BE0"/>
    <w:rsid w:val="006F060B"/>
    <w:rsid w:val="00706852"/>
    <w:rsid w:val="007446AF"/>
    <w:rsid w:val="00745B94"/>
    <w:rsid w:val="007653B3"/>
    <w:rsid w:val="007763AE"/>
    <w:rsid w:val="00780A9D"/>
    <w:rsid w:val="00793E6A"/>
    <w:rsid w:val="007B4E5E"/>
    <w:rsid w:val="007C0FF8"/>
    <w:rsid w:val="007C1490"/>
    <w:rsid w:val="007C3EB8"/>
    <w:rsid w:val="007D4D43"/>
    <w:rsid w:val="007F5668"/>
    <w:rsid w:val="00805014"/>
    <w:rsid w:val="0080763D"/>
    <w:rsid w:val="00821CBF"/>
    <w:rsid w:val="008226DC"/>
    <w:rsid w:val="00852DD4"/>
    <w:rsid w:val="00856921"/>
    <w:rsid w:val="00857717"/>
    <w:rsid w:val="00870666"/>
    <w:rsid w:val="00895358"/>
    <w:rsid w:val="0090002B"/>
    <w:rsid w:val="009024C1"/>
    <w:rsid w:val="00926C1F"/>
    <w:rsid w:val="00945D6A"/>
    <w:rsid w:val="009819E2"/>
    <w:rsid w:val="009B79AE"/>
    <w:rsid w:val="009C46E7"/>
    <w:rsid w:val="009E2B74"/>
    <w:rsid w:val="009E5574"/>
    <w:rsid w:val="00A30430"/>
    <w:rsid w:val="00A45812"/>
    <w:rsid w:val="00A47CC8"/>
    <w:rsid w:val="00A47EB4"/>
    <w:rsid w:val="00A579D1"/>
    <w:rsid w:val="00A57CED"/>
    <w:rsid w:val="00A76D44"/>
    <w:rsid w:val="00A81553"/>
    <w:rsid w:val="00A91071"/>
    <w:rsid w:val="00A969A0"/>
    <w:rsid w:val="00AB1E5D"/>
    <w:rsid w:val="00AD1EE5"/>
    <w:rsid w:val="00AD3AB7"/>
    <w:rsid w:val="00AF0EBF"/>
    <w:rsid w:val="00AF2D1A"/>
    <w:rsid w:val="00B14D70"/>
    <w:rsid w:val="00B270C7"/>
    <w:rsid w:val="00B34EA4"/>
    <w:rsid w:val="00B70CA8"/>
    <w:rsid w:val="00B748E6"/>
    <w:rsid w:val="00B76DAA"/>
    <w:rsid w:val="00B92BCD"/>
    <w:rsid w:val="00B96D40"/>
    <w:rsid w:val="00BA6ED1"/>
    <w:rsid w:val="00BD3BFB"/>
    <w:rsid w:val="00BD795E"/>
    <w:rsid w:val="00C22877"/>
    <w:rsid w:val="00C56205"/>
    <w:rsid w:val="00C7051C"/>
    <w:rsid w:val="00C739DD"/>
    <w:rsid w:val="00C811BE"/>
    <w:rsid w:val="00C85728"/>
    <w:rsid w:val="00CA4B0F"/>
    <w:rsid w:val="00CA4F8C"/>
    <w:rsid w:val="00CB08CF"/>
    <w:rsid w:val="00CB788D"/>
    <w:rsid w:val="00CC797B"/>
    <w:rsid w:val="00D00843"/>
    <w:rsid w:val="00D17F74"/>
    <w:rsid w:val="00D4226A"/>
    <w:rsid w:val="00D42F1B"/>
    <w:rsid w:val="00D578BF"/>
    <w:rsid w:val="00D71822"/>
    <w:rsid w:val="00D9173E"/>
    <w:rsid w:val="00D91942"/>
    <w:rsid w:val="00DA1588"/>
    <w:rsid w:val="00DD6C8F"/>
    <w:rsid w:val="00DE796A"/>
    <w:rsid w:val="00DF37E5"/>
    <w:rsid w:val="00E21AE0"/>
    <w:rsid w:val="00E32A3D"/>
    <w:rsid w:val="00E32D60"/>
    <w:rsid w:val="00E51F7B"/>
    <w:rsid w:val="00E622F1"/>
    <w:rsid w:val="00E760C7"/>
    <w:rsid w:val="00E82636"/>
    <w:rsid w:val="00EA2CCF"/>
    <w:rsid w:val="00EC3A5F"/>
    <w:rsid w:val="00ED77A3"/>
    <w:rsid w:val="00EE70DB"/>
    <w:rsid w:val="00F10C46"/>
    <w:rsid w:val="00F14D55"/>
    <w:rsid w:val="00F240DC"/>
    <w:rsid w:val="00F26777"/>
    <w:rsid w:val="00F27726"/>
    <w:rsid w:val="00F34816"/>
    <w:rsid w:val="00F74BF8"/>
    <w:rsid w:val="00F7639B"/>
    <w:rsid w:val="00F8559E"/>
    <w:rsid w:val="00F957B1"/>
    <w:rsid w:val="00FB2080"/>
    <w:rsid w:val="00FC1DEC"/>
    <w:rsid w:val="00FC582C"/>
    <w:rsid w:val="00FD2B77"/>
    <w:rsid w:val="00FF2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uiPriority w:val="99"/>
    <w:semiHidden/>
    <w:pPr>
      <w:jc w:val="right"/>
    </w:pPr>
    <w:rPr>
      <w:rFonts w:ascii="Times" w:hAnsi="Times"/>
      <w:noProof/>
      <w:sz w:val="20"/>
      <w:szCs w:val="20"/>
    </w:rPr>
  </w:style>
  <w:style w:type="character" w:styleId="FootnoteReference">
    <w:name w:val="footnote reference"/>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3D7E80"/>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character" w:customStyle="1" w:styleId="FootnoteTextChar">
    <w:name w:val="Footnote Text Char"/>
    <w:link w:val="FootnoteText"/>
    <w:uiPriority w:val="99"/>
    <w:semiHidden/>
    <w:rsid w:val="00FF28C1"/>
    <w:rPr>
      <w:rFonts w:ascii="Times" w:hAnsi="Times" w:cs="Simplified Arabic"/>
      <w:noProof/>
    </w:rPr>
  </w:style>
  <w:style w:type="character" w:styleId="Hyperlink">
    <w:name w:val="Hyperlink"/>
    <w:rsid w:val="00FF28C1"/>
    <w:rPr>
      <w:rFonts w:ascii="Times New Roman" w:hAnsi="Times New Roman"/>
      <w:color w:val="auto"/>
      <w:sz w:val="20"/>
      <w:szCs w:val="20"/>
      <w:u w:val="none"/>
      <w:lang w:val="fr-FR"/>
    </w:rPr>
  </w:style>
  <w:style w:type="character" w:customStyle="1" w:styleId="DeltaViewInsertion">
    <w:name w:val="DeltaView Insertion"/>
    <w:uiPriority w:val="99"/>
    <w:rsid w:val="00333788"/>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uiPriority w:val="99"/>
    <w:semiHidden/>
    <w:pPr>
      <w:jc w:val="right"/>
    </w:pPr>
    <w:rPr>
      <w:rFonts w:ascii="Times" w:hAnsi="Times"/>
      <w:noProof/>
      <w:sz w:val="20"/>
      <w:szCs w:val="20"/>
    </w:rPr>
  </w:style>
  <w:style w:type="character" w:styleId="FootnoteReference">
    <w:name w:val="footnote reference"/>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3D7E80"/>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character" w:customStyle="1" w:styleId="FootnoteTextChar">
    <w:name w:val="Footnote Text Char"/>
    <w:link w:val="FootnoteText"/>
    <w:uiPriority w:val="99"/>
    <w:semiHidden/>
    <w:rsid w:val="00FF28C1"/>
    <w:rPr>
      <w:rFonts w:ascii="Times" w:hAnsi="Times" w:cs="Simplified Arabic"/>
      <w:noProof/>
    </w:rPr>
  </w:style>
  <w:style w:type="character" w:styleId="Hyperlink">
    <w:name w:val="Hyperlink"/>
    <w:rsid w:val="00FF28C1"/>
    <w:rPr>
      <w:rFonts w:ascii="Times New Roman" w:hAnsi="Times New Roman"/>
      <w:color w:val="auto"/>
      <w:sz w:val="20"/>
      <w:szCs w:val="20"/>
      <w:u w:val="none"/>
      <w:lang w:val="fr-FR"/>
    </w:rPr>
  </w:style>
  <w:style w:type="character" w:customStyle="1" w:styleId="DeltaViewInsertion">
    <w:name w:val="DeltaView Insertion"/>
    <w:uiPriority w:val="99"/>
    <w:rsid w:val="0033378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265B-33FC-46A3-BEB8-033B8A30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UNEP/GC/25/1</vt:lpstr>
    </vt:vector>
  </TitlesOfParts>
  <Company>UNON</Company>
  <LinksUpToDate>false</LinksUpToDate>
  <CharactersWithSpaces>3143</CharactersWithSpaces>
  <SharedDoc>false</SharedDoc>
  <HLinks>
    <vt:vector size="18" baseType="variant">
      <vt:variant>
        <vt:i4>7733256</vt:i4>
      </vt:variant>
      <vt:variant>
        <vt:i4>6</vt:i4>
      </vt:variant>
      <vt:variant>
        <vt:i4>0</vt:i4>
      </vt:variant>
      <vt:variant>
        <vt:i4>5</vt:i4>
      </vt:variant>
      <vt:variant>
        <vt:lpwstr>C:\Users\user\AppData\Local\Temp\www.informea.org\</vt:lpwstr>
      </vt:variant>
      <vt:variant>
        <vt:lpwstr/>
      </vt:variant>
      <vt:variant>
        <vt:i4>3342387</vt:i4>
      </vt:variant>
      <vt:variant>
        <vt:i4>3</vt:i4>
      </vt:variant>
      <vt:variant>
        <vt:i4>0</vt:i4>
      </vt:variant>
      <vt:variant>
        <vt:i4>5</vt:i4>
      </vt:variant>
      <vt:variant>
        <vt:lpwstr>http://www.un.org/Depts/los/global_reporting/global_reporting.htm</vt:lpwstr>
      </vt:variant>
      <vt:variant>
        <vt:lpwstr/>
      </vt:variant>
      <vt:variant>
        <vt:i4>2424956</vt:i4>
      </vt:variant>
      <vt:variant>
        <vt:i4>0</vt:i4>
      </vt:variant>
      <vt:variant>
        <vt:i4>0</vt:i4>
      </vt:variant>
      <vt:variant>
        <vt:i4>5</vt:i4>
      </vt:variant>
      <vt:variant>
        <vt:lpwstr>http://www.geftwap.org/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UNEP/GC/25/1</dc:title>
  <dc:creator>kotb</dc:creator>
  <cp:lastModifiedBy>Cyrille-Lazare Siewe</cp:lastModifiedBy>
  <cp:revision>2</cp:revision>
  <cp:lastPrinted>2010-12-21T07:25:00Z</cp:lastPrinted>
  <dcterms:created xsi:type="dcterms:W3CDTF">2016-09-14T11:19:00Z</dcterms:created>
  <dcterms:modified xsi:type="dcterms:W3CDTF">2016-09-14T11:19:00Z</dcterms:modified>
</cp:coreProperties>
</file>