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368"/>
        <w:gridCol w:w="5529"/>
        <w:gridCol w:w="2815"/>
      </w:tblGrid>
      <w:tr w:rsidR="00514EEF" w:rsidRPr="00197835" w:rsidTr="00290684">
        <w:trPr>
          <w:cantSplit/>
          <w:trHeight w:val="850"/>
          <w:jc w:val="right"/>
        </w:trPr>
        <w:tc>
          <w:tcPr>
            <w:tcW w:w="1368" w:type="dxa"/>
          </w:tcPr>
          <w:p w:rsidR="00514EEF" w:rsidRDefault="00514EEF" w:rsidP="00290684">
            <w:pPr>
              <w:tabs>
                <w:tab w:val="clear" w:pos="1247"/>
              </w:tabs>
              <w:ind w:right="-378"/>
              <w:rPr>
                <w:rFonts w:ascii="Arial" w:hAnsi="Arial" w:cs="Arial"/>
                <w:b/>
                <w:sz w:val="27"/>
                <w:szCs w:val="27"/>
              </w:rPr>
            </w:pPr>
            <w:bookmarkStart w:id="0" w:name="_Toc459971127"/>
            <w:bookmarkStart w:id="1" w:name="_GoBack"/>
            <w:bookmarkEnd w:id="1"/>
            <w:r w:rsidRPr="00197835">
              <w:rPr>
                <w:rFonts w:ascii="Arial" w:hAnsi="Arial" w:cs="Arial"/>
                <w:b/>
                <w:sz w:val="27"/>
                <w:szCs w:val="27"/>
              </w:rPr>
              <w:t>NATIONS</w:t>
            </w:r>
          </w:p>
          <w:p w:rsidR="00514EEF" w:rsidRPr="00197835" w:rsidRDefault="00514EEF" w:rsidP="00290684">
            <w:pPr>
              <w:tabs>
                <w:tab w:val="clear" w:pos="1247"/>
              </w:tabs>
              <w:ind w:right="-378"/>
              <w:rPr>
                <w:rFonts w:ascii="Univers" w:hAnsi="Univers"/>
                <w:b/>
                <w:sz w:val="27"/>
                <w:szCs w:val="27"/>
              </w:rPr>
            </w:pPr>
            <w:r w:rsidRPr="00197835">
              <w:rPr>
                <w:rFonts w:ascii="Arial" w:hAnsi="Arial" w:cs="Arial"/>
                <w:b/>
                <w:sz w:val="27"/>
                <w:szCs w:val="27"/>
              </w:rPr>
              <w:t>UNIES</w:t>
            </w:r>
          </w:p>
        </w:tc>
        <w:tc>
          <w:tcPr>
            <w:tcW w:w="5529" w:type="dxa"/>
          </w:tcPr>
          <w:p w:rsidR="00514EEF" w:rsidRPr="00197835" w:rsidRDefault="00514EEF" w:rsidP="00290684">
            <w:pPr>
              <w:rPr>
                <w:rFonts w:ascii="Univers" w:hAnsi="Univers"/>
                <w:b/>
                <w:sz w:val="27"/>
                <w:szCs w:val="27"/>
              </w:rPr>
            </w:pPr>
          </w:p>
        </w:tc>
        <w:tc>
          <w:tcPr>
            <w:tcW w:w="2815" w:type="dxa"/>
          </w:tcPr>
          <w:p w:rsidR="00514EEF" w:rsidRPr="00197835" w:rsidRDefault="00273BE8" w:rsidP="00290684">
            <w:pPr>
              <w:jc w:val="right"/>
              <w:rPr>
                <w:rFonts w:ascii="Arial" w:hAnsi="Arial" w:cs="Arial"/>
                <w:b/>
                <w:sz w:val="64"/>
                <w:szCs w:val="64"/>
              </w:rPr>
            </w:pPr>
            <w:hyperlink r:id="rId8" w:tgtFrame="_blank" w:history="1">
              <w:r w:rsidR="00514EEF" w:rsidRPr="00197835">
                <w:rPr>
                  <w:rFonts w:ascii="Arial" w:hAnsi="Arial" w:cs="Arial"/>
                  <w:b/>
                  <w:sz w:val="64"/>
                  <w:szCs w:val="64"/>
                </w:rPr>
                <w:t>EP</w:t>
              </w:r>
            </w:hyperlink>
          </w:p>
        </w:tc>
      </w:tr>
      <w:tr w:rsidR="00514EEF" w:rsidRPr="00197835" w:rsidTr="00290684">
        <w:trPr>
          <w:cantSplit/>
          <w:trHeight w:val="281"/>
          <w:jc w:val="right"/>
        </w:trPr>
        <w:tc>
          <w:tcPr>
            <w:tcW w:w="1368" w:type="dxa"/>
            <w:tcBorders>
              <w:bottom w:val="single" w:sz="4" w:space="0" w:color="auto"/>
            </w:tcBorders>
          </w:tcPr>
          <w:p w:rsidR="00514EEF" w:rsidRPr="00197835" w:rsidRDefault="00514EEF" w:rsidP="00290684">
            <w:pPr>
              <w:rPr>
                <w:sz w:val="18"/>
                <w:szCs w:val="18"/>
              </w:rPr>
            </w:pPr>
          </w:p>
        </w:tc>
        <w:tc>
          <w:tcPr>
            <w:tcW w:w="5529" w:type="dxa"/>
            <w:tcBorders>
              <w:bottom w:val="single" w:sz="4" w:space="0" w:color="auto"/>
            </w:tcBorders>
          </w:tcPr>
          <w:p w:rsidR="00514EEF" w:rsidRPr="00197835" w:rsidRDefault="00514EEF" w:rsidP="00290684">
            <w:pPr>
              <w:rPr>
                <w:rFonts w:ascii="Univers" w:hAnsi="Univers"/>
                <w:b/>
                <w:sz w:val="18"/>
                <w:szCs w:val="18"/>
              </w:rPr>
            </w:pPr>
          </w:p>
        </w:tc>
        <w:tc>
          <w:tcPr>
            <w:tcW w:w="2815" w:type="dxa"/>
            <w:tcBorders>
              <w:bottom w:val="single" w:sz="4" w:space="0" w:color="auto"/>
            </w:tcBorders>
          </w:tcPr>
          <w:p w:rsidR="00514EEF" w:rsidRPr="00197835" w:rsidRDefault="00273BE8" w:rsidP="00290684">
            <w:pPr>
              <w:rPr>
                <w:sz w:val="18"/>
                <w:szCs w:val="18"/>
              </w:rPr>
            </w:pPr>
            <w:hyperlink r:id="rId9" w:tgtFrame="_blank" w:history="1">
              <w:r w:rsidR="00514EEF" w:rsidRPr="00197835">
                <w:rPr>
                  <w:b/>
                  <w:bCs/>
                  <w:sz w:val="28"/>
                </w:rPr>
                <w:t>UNEP</w:t>
              </w:r>
            </w:hyperlink>
            <w:r w:rsidR="00514EEF" w:rsidRPr="00197835">
              <w:t>/</w:t>
            </w:r>
            <w:hyperlink r:id="rId10" w:tgtFrame="_blank" w:history="1">
              <w:r w:rsidR="00514EEF" w:rsidRPr="00197835">
                <w:t>EA</w:t>
              </w:r>
            </w:hyperlink>
            <w:r w:rsidR="00514EEF" w:rsidRPr="00197835">
              <w:t>.2/</w:t>
            </w:r>
            <w:r w:rsidR="005A069B">
              <w:t>Res.</w:t>
            </w:r>
            <w:r w:rsidR="00CB12AF">
              <w:t>2</w:t>
            </w:r>
          </w:p>
        </w:tc>
      </w:tr>
      <w:bookmarkStart w:id="2" w:name="_MON_1021710482"/>
      <w:bookmarkEnd w:id="2"/>
      <w:bookmarkStart w:id="3" w:name="_MON_1021710510"/>
      <w:bookmarkEnd w:id="3"/>
      <w:tr w:rsidR="00514EEF" w:rsidRPr="00197835" w:rsidTr="00290684">
        <w:trPr>
          <w:cantSplit/>
          <w:trHeight w:val="2549"/>
          <w:jc w:val="right"/>
        </w:trPr>
        <w:tc>
          <w:tcPr>
            <w:tcW w:w="1368" w:type="dxa"/>
            <w:tcBorders>
              <w:top w:val="single" w:sz="4" w:space="0" w:color="auto"/>
              <w:bottom w:val="single" w:sz="24" w:space="0" w:color="auto"/>
            </w:tcBorders>
          </w:tcPr>
          <w:p w:rsidR="00514EEF" w:rsidRPr="00197835" w:rsidRDefault="00514EEF" w:rsidP="00290684">
            <w:r w:rsidRPr="00197835">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pt;height:61.25pt" o:ole="" fillcolor="window">
                  <v:imagedata r:id="rId11" o:title=""/>
                </v:shape>
                <o:OLEObject Type="Embed" ProgID="Word.Picture.8" ShapeID="_x0000_i1025" DrawAspect="Content" ObjectID="_1535182047" r:id="rId12"/>
              </w:object>
            </w:r>
            <w:r w:rsidRPr="00197835">
              <w:rPr>
                <w:lang w:val="en-US"/>
              </w:rPr>
              <w:drawing>
                <wp:inline distT="0" distB="0" distL="0" distR="0" wp14:anchorId="0460267B" wp14:editId="77B0E644">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529" w:type="dxa"/>
            <w:tcBorders>
              <w:top w:val="single" w:sz="4" w:space="0" w:color="auto"/>
              <w:bottom w:val="single" w:sz="24" w:space="0" w:color="auto"/>
            </w:tcBorders>
          </w:tcPr>
          <w:p w:rsidR="00514EEF" w:rsidRPr="00197835" w:rsidRDefault="00514EEF" w:rsidP="00290684">
            <w:pPr>
              <w:spacing w:before="1400" w:after="120"/>
              <w:ind w:left="72"/>
              <w:rPr>
                <w:rFonts w:ascii="Univers" w:hAnsi="Univers"/>
                <w:b/>
                <w:sz w:val="28"/>
                <w:szCs w:val="28"/>
              </w:rPr>
            </w:pPr>
            <w:r w:rsidRPr="00197835">
              <w:rPr>
                <w:rFonts w:ascii="Arial" w:hAnsi="Arial" w:cs="Arial"/>
                <w:b/>
                <w:sz w:val="28"/>
                <w:szCs w:val="28"/>
              </w:rPr>
              <w:t>Assemblée des Nations Unies pour l’environnement du Programme des Nations Unies pour l’environnement</w:t>
            </w:r>
            <w:r w:rsidRPr="00197835">
              <w:rPr>
                <w:rFonts w:ascii="Univers" w:hAnsi="Univers"/>
                <w:b/>
                <w:sz w:val="28"/>
                <w:szCs w:val="28"/>
              </w:rPr>
              <w:t xml:space="preserve"> </w:t>
            </w:r>
          </w:p>
        </w:tc>
        <w:tc>
          <w:tcPr>
            <w:tcW w:w="2815" w:type="dxa"/>
            <w:tcBorders>
              <w:top w:val="single" w:sz="4" w:space="0" w:color="auto"/>
              <w:bottom w:val="single" w:sz="24" w:space="0" w:color="auto"/>
            </w:tcBorders>
          </w:tcPr>
          <w:p w:rsidR="00514EEF" w:rsidRPr="00197835" w:rsidRDefault="00514EEF" w:rsidP="00290684">
            <w:pPr>
              <w:spacing w:before="120"/>
            </w:pPr>
            <w:r>
              <w:t>Distr. générale</w:t>
            </w:r>
            <w:r>
              <w:br/>
              <w:t xml:space="preserve">3 août </w:t>
            </w:r>
            <w:r w:rsidRPr="00197835">
              <w:t>2016</w:t>
            </w:r>
          </w:p>
          <w:p w:rsidR="00514EEF" w:rsidRPr="00197835" w:rsidRDefault="00514EEF" w:rsidP="00290684">
            <w:pPr>
              <w:spacing w:before="120"/>
            </w:pPr>
            <w:r w:rsidRPr="00197835">
              <w:t>Français</w:t>
            </w:r>
            <w:r w:rsidRPr="00197835">
              <w:br/>
              <w:t>Original</w:t>
            </w:r>
            <w:r>
              <w:t> </w:t>
            </w:r>
            <w:r w:rsidRPr="00197835">
              <w:t>: anglais</w:t>
            </w:r>
          </w:p>
        </w:tc>
      </w:tr>
    </w:tbl>
    <w:p w:rsidR="00514EEF" w:rsidRPr="00197835" w:rsidRDefault="00514EEF" w:rsidP="00514EEF">
      <w:pPr>
        <w:pStyle w:val="AATitle"/>
        <w:ind w:right="4636"/>
        <w:rPr>
          <w:noProof/>
          <w:lang w:val="fr-FR"/>
        </w:rPr>
      </w:pPr>
      <w:r w:rsidRPr="00197835">
        <w:rPr>
          <w:noProof/>
          <w:lang w:val="fr-FR"/>
        </w:rPr>
        <w:t xml:space="preserve">Assemblée des Nations Unies pour l’environnement </w:t>
      </w:r>
      <w:r>
        <w:rPr>
          <w:noProof/>
          <w:lang w:val="fr-FR"/>
        </w:rPr>
        <w:br/>
      </w:r>
      <w:r w:rsidRPr="00197835">
        <w:rPr>
          <w:noProof/>
          <w:lang w:val="fr-FR"/>
        </w:rPr>
        <w:t xml:space="preserve">du Programme des Nations Unies pour l’environnement </w:t>
      </w:r>
    </w:p>
    <w:p w:rsidR="00514EEF" w:rsidRPr="00197835" w:rsidRDefault="00514EEF" w:rsidP="00514EEF">
      <w:pPr>
        <w:pStyle w:val="AATitle"/>
        <w:rPr>
          <w:noProof/>
          <w:lang w:val="fr-FR"/>
        </w:rPr>
      </w:pPr>
      <w:r w:rsidRPr="00197835">
        <w:rPr>
          <w:noProof/>
          <w:lang w:val="fr-FR"/>
        </w:rPr>
        <w:t>Deuxième session</w:t>
      </w:r>
    </w:p>
    <w:p w:rsidR="00514EEF" w:rsidRPr="00197835" w:rsidRDefault="00514EEF" w:rsidP="00514EEF">
      <w:pPr>
        <w:pStyle w:val="AATitle"/>
        <w:keepNext w:val="0"/>
        <w:keepLines w:val="0"/>
        <w:rPr>
          <w:b w:val="0"/>
          <w:noProof/>
          <w:lang w:val="fr-FR"/>
        </w:rPr>
      </w:pPr>
      <w:r w:rsidRPr="00197835">
        <w:rPr>
          <w:b w:val="0"/>
          <w:noProof/>
          <w:lang w:val="fr-FR"/>
        </w:rPr>
        <w:t>Nairobi, 23</w:t>
      </w:r>
      <w:r w:rsidRPr="00197835">
        <w:rPr>
          <w:noProof/>
          <w:lang w:val="fr-FR"/>
        </w:rPr>
        <w:t>-</w:t>
      </w:r>
      <w:r w:rsidRPr="00197835">
        <w:rPr>
          <w:b w:val="0"/>
          <w:noProof/>
          <w:lang w:val="fr-FR"/>
        </w:rPr>
        <w:t>27</w:t>
      </w:r>
      <w:r>
        <w:rPr>
          <w:b w:val="0"/>
          <w:noProof/>
          <w:lang w:val="fr-FR"/>
        </w:rPr>
        <w:t> </w:t>
      </w:r>
      <w:r w:rsidRPr="00197835">
        <w:rPr>
          <w:b w:val="0"/>
          <w:noProof/>
          <w:lang w:val="fr-FR"/>
        </w:rPr>
        <w:t>mai 2016</w:t>
      </w:r>
    </w:p>
    <w:p w:rsidR="005821B6" w:rsidRPr="003933E5" w:rsidRDefault="005821B6" w:rsidP="003933E5">
      <w:pPr>
        <w:pStyle w:val="BBTitle"/>
        <w:tabs>
          <w:tab w:val="clear" w:pos="1247"/>
          <w:tab w:val="clear" w:pos="1814"/>
        </w:tabs>
        <w:ind w:left="1848" w:hanging="601"/>
        <w:rPr>
          <w:bCs/>
          <w:lang w:val="fr-FR"/>
        </w:rPr>
      </w:pPr>
      <w:r w:rsidRPr="003933E5">
        <w:rPr>
          <w:lang w:val="fr-FR"/>
        </w:rPr>
        <w:t>2/2.</w:t>
      </w:r>
      <w:r w:rsidRPr="003933E5">
        <w:rPr>
          <w:lang w:val="fr-FR"/>
        </w:rPr>
        <w:tab/>
        <w:t xml:space="preserve">Rôle et fonctions des forums régionaux des ministres </w:t>
      </w:r>
      <w:r w:rsidRPr="003933E5">
        <w:rPr>
          <w:lang w:val="fr-FR"/>
        </w:rPr>
        <w:br/>
        <w:t>de l’environnement et des autorités environnementales</w:t>
      </w:r>
      <w:bookmarkEnd w:id="0"/>
    </w:p>
    <w:p w:rsidR="005821B6" w:rsidRPr="009B69CC" w:rsidRDefault="005821B6" w:rsidP="003933E5">
      <w:pPr>
        <w:pStyle w:val="NormalNonumber"/>
        <w:tabs>
          <w:tab w:val="clear" w:pos="1247"/>
        </w:tabs>
        <w:ind w:firstLine="615"/>
        <w:rPr>
          <w:i/>
          <w:lang w:val="fr-FR"/>
        </w:rPr>
      </w:pPr>
      <w:r w:rsidRPr="009B69CC">
        <w:rPr>
          <w:i/>
          <w:lang w:val="fr-FR"/>
        </w:rPr>
        <w:t>L</w:t>
      </w:r>
      <w:r>
        <w:rPr>
          <w:i/>
          <w:lang w:val="fr-FR"/>
        </w:rPr>
        <w:t>’</w:t>
      </w:r>
      <w:r w:rsidRPr="009B69CC">
        <w:rPr>
          <w:i/>
          <w:lang w:val="fr-FR"/>
        </w:rPr>
        <w:t>Assemblée des Nations Unies pour l</w:t>
      </w:r>
      <w:r>
        <w:rPr>
          <w:i/>
          <w:lang w:val="fr-FR"/>
        </w:rPr>
        <w:t>’</w:t>
      </w:r>
      <w:r w:rsidRPr="009B69CC">
        <w:rPr>
          <w:i/>
          <w:lang w:val="fr-FR"/>
        </w:rPr>
        <w:t>environnement,</w:t>
      </w:r>
    </w:p>
    <w:p w:rsidR="005821B6" w:rsidRPr="009B69CC" w:rsidRDefault="005821B6" w:rsidP="003933E5">
      <w:pPr>
        <w:pStyle w:val="NormalNonumber"/>
        <w:tabs>
          <w:tab w:val="clear" w:pos="1247"/>
        </w:tabs>
        <w:ind w:firstLine="601"/>
        <w:rPr>
          <w:lang w:val="fr-FR"/>
        </w:rPr>
      </w:pPr>
      <w:r w:rsidRPr="009B69CC">
        <w:rPr>
          <w:i/>
          <w:lang w:val="fr-FR"/>
        </w:rPr>
        <w:t xml:space="preserve">Rappelant </w:t>
      </w:r>
      <w:r w:rsidRPr="009B69CC">
        <w:rPr>
          <w:lang w:val="fr-FR"/>
        </w:rPr>
        <w:t>la décision 27/2 adoptée par le Conseil d</w:t>
      </w:r>
      <w:r>
        <w:rPr>
          <w:lang w:val="fr-FR"/>
        </w:rPr>
        <w:t>’</w:t>
      </w:r>
      <w:r w:rsidRPr="009B69CC">
        <w:rPr>
          <w:lang w:val="fr-FR"/>
        </w:rPr>
        <w:t>administration à sa vingt</w:t>
      </w:r>
      <w:r w:rsidRPr="009B69CC">
        <w:rPr>
          <w:lang w:val="fr-FR"/>
        </w:rPr>
        <w:noBreakHyphen/>
        <w:t>septième session et première session universelle, tenue à Nairobi du 18 au 22 février 2013, par laquelle le Conseil a décidé de renforcer la présence régionale du Programme des Nations Unies pour l</w:t>
      </w:r>
      <w:r>
        <w:rPr>
          <w:lang w:val="fr-FR"/>
        </w:rPr>
        <w:t>’</w:t>
      </w:r>
      <w:r w:rsidRPr="009B69CC">
        <w:rPr>
          <w:lang w:val="fr-FR"/>
        </w:rPr>
        <w:t>environnement afin d</w:t>
      </w:r>
      <w:r>
        <w:rPr>
          <w:lang w:val="fr-FR"/>
        </w:rPr>
        <w:t>’</w:t>
      </w:r>
      <w:r w:rsidRPr="009B69CC">
        <w:rPr>
          <w:lang w:val="fr-FR"/>
        </w:rPr>
        <w:t>aider les pays à mettre en place leurs programmes, politiques et plans nationaux en matière d</w:t>
      </w:r>
      <w:r>
        <w:rPr>
          <w:lang w:val="fr-FR"/>
        </w:rPr>
        <w:t>’</w:t>
      </w:r>
      <w:r w:rsidRPr="009B69CC">
        <w:rPr>
          <w:lang w:val="fr-FR"/>
        </w:rPr>
        <w:t>environnement,</w:t>
      </w:r>
    </w:p>
    <w:p w:rsidR="005821B6" w:rsidRPr="003933E5" w:rsidRDefault="005821B6" w:rsidP="003933E5">
      <w:pPr>
        <w:pStyle w:val="NormalNonumber"/>
        <w:tabs>
          <w:tab w:val="clear" w:pos="1247"/>
        </w:tabs>
        <w:ind w:firstLine="601"/>
        <w:rPr>
          <w:lang w:val="fr-FR"/>
        </w:rPr>
      </w:pPr>
      <w:r w:rsidRPr="009B69CC">
        <w:rPr>
          <w:i/>
          <w:szCs w:val="24"/>
          <w:lang w:val="fr-FR"/>
        </w:rPr>
        <w:t xml:space="preserve">Rappelant également </w:t>
      </w:r>
      <w:r w:rsidRPr="009B69CC">
        <w:rPr>
          <w:szCs w:val="24"/>
          <w:lang w:val="fr-FR"/>
        </w:rPr>
        <w:t>l</w:t>
      </w:r>
      <w:r>
        <w:rPr>
          <w:szCs w:val="24"/>
          <w:lang w:val="fr-FR"/>
        </w:rPr>
        <w:t>a</w:t>
      </w:r>
      <w:r w:rsidRPr="009B69CC">
        <w:rPr>
          <w:szCs w:val="24"/>
          <w:lang w:val="fr-FR"/>
        </w:rPr>
        <w:t xml:space="preserve"> décision</w:t>
      </w:r>
      <w:r>
        <w:rPr>
          <w:szCs w:val="24"/>
          <w:lang w:val="fr-FR"/>
        </w:rPr>
        <w:t> 13/6</w:t>
      </w:r>
      <w:r w:rsidRPr="009B69CC">
        <w:rPr>
          <w:szCs w:val="24"/>
          <w:lang w:val="fr-FR"/>
        </w:rPr>
        <w:t xml:space="preserve"> du Conseil d</w:t>
      </w:r>
      <w:r>
        <w:rPr>
          <w:szCs w:val="24"/>
          <w:lang w:val="fr-FR"/>
        </w:rPr>
        <w:t>’</w:t>
      </w:r>
      <w:r w:rsidRPr="009B69CC">
        <w:rPr>
          <w:szCs w:val="24"/>
          <w:lang w:val="fr-FR"/>
        </w:rPr>
        <w:t>administration</w:t>
      </w:r>
      <w:r>
        <w:rPr>
          <w:szCs w:val="24"/>
          <w:lang w:val="fr-FR"/>
        </w:rPr>
        <w:t>,</w:t>
      </w:r>
      <w:r w:rsidRPr="009B69CC">
        <w:rPr>
          <w:szCs w:val="24"/>
          <w:lang w:val="fr-FR"/>
        </w:rPr>
        <w:t xml:space="preserve"> de 1985</w:t>
      </w:r>
      <w:r>
        <w:rPr>
          <w:szCs w:val="24"/>
          <w:lang w:val="fr-FR"/>
        </w:rPr>
        <w:t>,</w:t>
      </w:r>
      <w:r w:rsidRPr="009B69CC">
        <w:rPr>
          <w:szCs w:val="24"/>
          <w:lang w:val="fr-FR"/>
        </w:rPr>
        <w:t xml:space="preserve"> concernant la Conférence </w:t>
      </w:r>
      <w:r w:rsidRPr="003933E5">
        <w:rPr>
          <w:lang w:val="fr-FR"/>
        </w:rPr>
        <w:t>africaine sur l’environnement et sa décision 11/7, de 1983, sur le Programme régional pour l’Afrique, qui invitaient les gouvernements de la région à convoquer, en coopération avec les organisations et institutions régionales, une conférence africaine sur l’environnement pour procéder à l’examen des priorités nationales en matière d’environnement et identifier les problèmes communs méritant de faire l’objet d’un programme d’action régional visant à lutter contre les graves problèmes environnementaux en Afrique, et priaient le Directeur exécutif de charger le Bureau régional pour l’Afrique d’assurer les services de secrétariat de la conférence,</w:t>
      </w:r>
    </w:p>
    <w:p w:rsidR="005821B6" w:rsidRPr="009B69CC" w:rsidRDefault="005821B6" w:rsidP="003933E5">
      <w:pPr>
        <w:pStyle w:val="NormalNonumber"/>
        <w:tabs>
          <w:tab w:val="clear" w:pos="1247"/>
        </w:tabs>
        <w:ind w:firstLine="601"/>
        <w:rPr>
          <w:b/>
          <w:szCs w:val="24"/>
          <w:lang w:val="fr-FR"/>
        </w:rPr>
      </w:pPr>
      <w:r w:rsidRPr="003933E5">
        <w:rPr>
          <w:i/>
          <w:lang w:val="fr-FR"/>
        </w:rPr>
        <w:t>Rappelant en outre</w:t>
      </w:r>
      <w:r w:rsidRPr="003933E5">
        <w:rPr>
          <w:lang w:val="fr-FR"/>
        </w:rPr>
        <w:t xml:space="preserve"> la décision 20/11 adoptée par le Conseil d’administration en 1999, portant sur l’appui à la coopération entre le Conseil des ministres arabes chargés de l’environnement et le Programme des Nations Unies pour l’environnement, par le biais des Bureaux régionaux pour l’Asie occidentale et pour l’Afrique, qui priait le Directeur exécutif d’appuyer, dans la limite des ressources disponibles, les buts et objectifs du Conseil des ministres arabes chargés de l’environnement et des Bureaux régionaux pour l’Asie occidentale et pour l’Afrique et de mettre en place un mécanisme adapté pour appuyer</w:t>
      </w:r>
      <w:r w:rsidRPr="009B69CC">
        <w:rPr>
          <w:szCs w:val="24"/>
          <w:lang w:val="fr-FR"/>
        </w:rPr>
        <w:t xml:space="preserve"> la mise en œuvre et la coordination des programmes régionaux dans la région</w:t>
      </w:r>
      <w:r>
        <w:rPr>
          <w:szCs w:val="24"/>
          <w:lang w:val="fr-FR"/>
        </w:rPr>
        <w:t> </w:t>
      </w:r>
      <w:r w:rsidRPr="009B69CC">
        <w:rPr>
          <w:szCs w:val="24"/>
          <w:lang w:val="fr-FR"/>
        </w:rPr>
        <w:t>arabe,</w:t>
      </w:r>
    </w:p>
    <w:p w:rsidR="005821B6" w:rsidRPr="009B69CC" w:rsidRDefault="005821B6" w:rsidP="003933E5">
      <w:pPr>
        <w:pStyle w:val="NormalNonumber"/>
        <w:tabs>
          <w:tab w:val="clear" w:pos="1247"/>
        </w:tabs>
        <w:ind w:firstLine="601"/>
        <w:rPr>
          <w:lang w:val="fr-FR"/>
        </w:rPr>
      </w:pPr>
      <w:r w:rsidRPr="009B69CC">
        <w:rPr>
          <w:i/>
          <w:lang w:val="fr-FR"/>
        </w:rPr>
        <w:t xml:space="preserve">Rappelant </w:t>
      </w:r>
      <w:r w:rsidRPr="009B69CC">
        <w:rPr>
          <w:lang w:val="fr-FR"/>
        </w:rPr>
        <w:t xml:space="preserve">la </w:t>
      </w:r>
      <w:r>
        <w:rPr>
          <w:lang w:val="fr-FR"/>
        </w:rPr>
        <w:t>décision </w:t>
      </w:r>
      <w:r w:rsidRPr="009B69CC">
        <w:rPr>
          <w:lang w:val="fr-FR"/>
        </w:rPr>
        <w:t>10/V adoptée par le Conseil d</w:t>
      </w:r>
      <w:r>
        <w:rPr>
          <w:lang w:val="fr-FR"/>
        </w:rPr>
        <w:t>’</w:t>
      </w:r>
      <w:r w:rsidRPr="009B69CC">
        <w:rPr>
          <w:lang w:val="fr-FR"/>
        </w:rPr>
        <w:t>administration en 1982, qui recommandait aux gouvernements des pays d</w:t>
      </w:r>
      <w:r>
        <w:rPr>
          <w:lang w:val="fr-FR"/>
        </w:rPr>
        <w:t>’</w:t>
      </w:r>
      <w:r w:rsidRPr="009B69CC">
        <w:rPr>
          <w:lang w:val="fr-FR"/>
        </w:rPr>
        <w:t>Amérique latine et des Caraïbes de convoquer périodiquement des réunions régionales intergouvernementales sur l</w:t>
      </w:r>
      <w:r>
        <w:rPr>
          <w:lang w:val="fr-FR"/>
        </w:rPr>
        <w:t>’</w:t>
      </w:r>
      <w:r w:rsidRPr="009B69CC">
        <w:rPr>
          <w:lang w:val="fr-FR"/>
        </w:rPr>
        <w:t>environnement en Amérique latine et dans les Caraïbes afin d</w:t>
      </w:r>
      <w:r>
        <w:rPr>
          <w:lang w:val="fr-FR"/>
        </w:rPr>
        <w:t>’</w:t>
      </w:r>
      <w:r w:rsidRPr="009B69CC">
        <w:rPr>
          <w:lang w:val="fr-FR"/>
        </w:rPr>
        <w:t>élaborer des politiques et une stratégie pour la région dans ce domaine, et qui priait le Directeur exécutif du Programme des Nations Unies pour l</w:t>
      </w:r>
      <w:r>
        <w:rPr>
          <w:lang w:val="fr-FR"/>
        </w:rPr>
        <w:t>’</w:t>
      </w:r>
      <w:r w:rsidRPr="009B69CC">
        <w:rPr>
          <w:lang w:val="fr-FR"/>
        </w:rPr>
        <w:t>environnement de fournir l</w:t>
      </w:r>
      <w:r>
        <w:rPr>
          <w:lang w:val="fr-FR"/>
        </w:rPr>
        <w:t>’</w:t>
      </w:r>
      <w:r w:rsidRPr="009B69CC">
        <w:rPr>
          <w:lang w:val="fr-FR"/>
        </w:rPr>
        <w:t>appui du secrétariat permanent à ces réunions régionales intergouvernementales, par l</w:t>
      </w:r>
      <w:r>
        <w:rPr>
          <w:lang w:val="fr-FR"/>
        </w:rPr>
        <w:t>’</w:t>
      </w:r>
      <w:r w:rsidRPr="009B69CC">
        <w:rPr>
          <w:lang w:val="fr-FR"/>
        </w:rPr>
        <w:t>intermédiaire du Bureau régional pour l</w:t>
      </w:r>
      <w:r>
        <w:rPr>
          <w:lang w:val="fr-FR"/>
        </w:rPr>
        <w:t>’</w:t>
      </w:r>
      <w:r w:rsidRPr="009B69CC">
        <w:rPr>
          <w:lang w:val="fr-FR"/>
        </w:rPr>
        <w:t>Amérique latine et les Caraïbes,</w:t>
      </w:r>
    </w:p>
    <w:p w:rsidR="005821B6" w:rsidRPr="009B69CC" w:rsidRDefault="005821B6" w:rsidP="003933E5">
      <w:pPr>
        <w:pStyle w:val="NormalNonumber"/>
        <w:tabs>
          <w:tab w:val="clear" w:pos="1247"/>
        </w:tabs>
        <w:ind w:firstLine="601"/>
        <w:rPr>
          <w:lang w:val="fr-FR"/>
        </w:rPr>
      </w:pPr>
      <w:r w:rsidRPr="003933E5">
        <w:rPr>
          <w:i/>
          <w:lang w:val="fr-FR"/>
        </w:rPr>
        <w:t>Se félicitant</w:t>
      </w:r>
      <w:r w:rsidRPr="003933E5">
        <w:rPr>
          <w:lang w:val="fr-FR"/>
        </w:rPr>
        <w:t xml:space="preserve"> </w:t>
      </w:r>
      <w:r w:rsidRPr="009B69CC">
        <w:rPr>
          <w:lang w:val="fr-FR"/>
        </w:rPr>
        <w:t xml:space="preserve">des progrès et des résultats obtenus par les forums ministériels régionaux sur </w:t>
      </w:r>
      <w:r w:rsidRPr="0066673D">
        <w:rPr>
          <w:lang w:val="fr-FR"/>
        </w:rPr>
        <w:t>l’environnement auxquels le Programme des Nations Unies pour l’environnement fournit un appui, et considérant que</w:t>
      </w:r>
      <w:r w:rsidRPr="009B69CC">
        <w:rPr>
          <w:lang w:val="fr-FR"/>
        </w:rPr>
        <w:t xml:space="preserve"> ces forums sont d</w:t>
      </w:r>
      <w:r>
        <w:rPr>
          <w:lang w:val="fr-FR"/>
        </w:rPr>
        <w:t>’</w:t>
      </w:r>
      <w:r w:rsidRPr="009B69CC">
        <w:rPr>
          <w:lang w:val="fr-FR"/>
        </w:rPr>
        <w:t>importantes plateformes pour renforcer la participation des pays à la préparation et au suivi de ses sessions,</w:t>
      </w:r>
    </w:p>
    <w:p w:rsidR="005821B6" w:rsidRPr="003933E5" w:rsidRDefault="005821B6" w:rsidP="003933E5">
      <w:pPr>
        <w:pStyle w:val="NormalNonumber"/>
        <w:tabs>
          <w:tab w:val="clear" w:pos="1247"/>
        </w:tabs>
        <w:ind w:firstLine="601"/>
        <w:rPr>
          <w:i/>
          <w:lang w:val="fr-FR"/>
        </w:rPr>
      </w:pPr>
      <w:r w:rsidRPr="003933E5">
        <w:rPr>
          <w:i/>
          <w:lang w:val="fr-FR"/>
        </w:rPr>
        <w:lastRenderedPageBreak/>
        <w:t xml:space="preserve">Accueillant avec satisfaction </w:t>
      </w:r>
      <w:r w:rsidRPr="003933E5">
        <w:rPr>
          <w:lang w:val="fr-FR"/>
        </w:rPr>
        <w:t xml:space="preserve">le premier Forum des ministres et des autorités environnementales de l’Asie et du Pacifique, qui s’est tenu à Bangkok les 19 et 20 mai 2015 et qui était coparrainé par le Gouvernement thaïlandais, </w:t>
      </w:r>
    </w:p>
    <w:p w:rsidR="005821B6" w:rsidRPr="003933E5" w:rsidRDefault="005821B6" w:rsidP="003933E5">
      <w:pPr>
        <w:pStyle w:val="NormalNonumber"/>
        <w:tabs>
          <w:tab w:val="clear" w:pos="1247"/>
        </w:tabs>
        <w:ind w:firstLine="601"/>
        <w:rPr>
          <w:i/>
          <w:lang w:val="fr-FR"/>
        </w:rPr>
      </w:pPr>
      <w:r w:rsidRPr="003933E5">
        <w:rPr>
          <w:i/>
          <w:lang w:val="fr-FR"/>
        </w:rPr>
        <w:t xml:space="preserve">Notant </w:t>
      </w:r>
      <w:r w:rsidRPr="003933E5">
        <w:rPr>
          <w:lang w:val="fr-FR"/>
        </w:rPr>
        <w:t>que le premier Forum des ministres et des autorités environnementales de l’Asie et du Pacifique a prié le Directeur exécutif du Programme des Nations Unies pour l’environnement d’organiser les sessions ordinaires du Forum,</w:t>
      </w:r>
    </w:p>
    <w:p w:rsidR="005821B6" w:rsidRPr="003933E5" w:rsidRDefault="005821B6" w:rsidP="003933E5">
      <w:pPr>
        <w:pStyle w:val="NormalNonumber"/>
        <w:tabs>
          <w:tab w:val="clear" w:pos="1247"/>
        </w:tabs>
        <w:ind w:firstLine="601"/>
        <w:rPr>
          <w:lang w:val="fr-FR"/>
        </w:rPr>
      </w:pPr>
      <w:r w:rsidRPr="003933E5">
        <w:rPr>
          <w:i/>
          <w:lang w:val="fr-FR"/>
        </w:rPr>
        <w:t xml:space="preserve">Remerciant </w:t>
      </w:r>
      <w:r w:rsidRPr="003933E5">
        <w:rPr>
          <w:lang w:val="fr-FR"/>
        </w:rPr>
        <w:t>le Programme des Nations Unies pour l’environnement de l’appui qu’il a apporté à la Conférence ministérielle africaine sur l’environnement par le truchement de son Bureau régional pour l’Afrique,</w:t>
      </w:r>
    </w:p>
    <w:p w:rsidR="005821B6" w:rsidRPr="009B69CC" w:rsidRDefault="005821B6" w:rsidP="003933E5">
      <w:pPr>
        <w:pStyle w:val="NormalNonumber"/>
        <w:tabs>
          <w:tab w:val="clear" w:pos="1247"/>
        </w:tabs>
        <w:ind w:firstLine="601"/>
        <w:rPr>
          <w:lang w:val="fr-FR"/>
        </w:rPr>
      </w:pPr>
      <w:r w:rsidRPr="003933E5">
        <w:rPr>
          <w:i/>
          <w:lang w:val="fr-FR"/>
        </w:rPr>
        <w:t xml:space="preserve">Consciente </w:t>
      </w:r>
      <w:r w:rsidRPr="009B69CC">
        <w:rPr>
          <w:lang w:val="fr-FR"/>
        </w:rPr>
        <w:t>des travaux que mène actuellement le Forum des ministres de l</w:t>
      </w:r>
      <w:r>
        <w:rPr>
          <w:lang w:val="fr-FR"/>
        </w:rPr>
        <w:t>’</w:t>
      </w:r>
      <w:r w:rsidRPr="009B69CC">
        <w:rPr>
          <w:lang w:val="fr-FR"/>
        </w:rPr>
        <w:t>environnement d</w:t>
      </w:r>
      <w:r>
        <w:rPr>
          <w:lang w:val="fr-FR"/>
        </w:rPr>
        <w:t>’</w:t>
      </w:r>
      <w:r w:rsidRPr="009B69CC">
        <w:rPr>
          <w:lang w:val="fr-FR"/>
        </w:rPr>
        <w:t xml:space="preserve">Amérique latine et des Caraïbes, </w:t>
      </w:r>
      <w:r w:rsidRPr="0066673D">
        <w:rPr>
          <w:lang w:val="fr-FR"/>
        </w:rPr>
        <w:t>et prenant note des résultats</w:t>
      </w:r>
      <w:r w:rsidRPr="009B69CC">
        <w:rPr>
          <w:lang w:val="fr-FR"/>
        </w:rPr>
        <w:t xml:space="preserve"> de la vingtième réunion du Forum, tenue en mars 2016 à Cartagena (Colombie),</w:t>
      </w:r>
    </w:p>
    <w:p w:rsidR="005821B6" w:rsidRPr="009B69CC" w:rsidRDefault="005821B6" w:rsidP="003933E5">
      <w:pPr>
        <w:pStyle w:val="NormalNonumber"/>
        <w:ind w:firstLine="596"/>
        <w:rPr>
          <w:lang w:val="fr-FR"/>
        </w:rPr>
      </w:pPr>
      <w:r w:rsidRPr="009B69CC">
        <w:rPr>
          <w:iCs/>
          <w:lang w:val="fr-FR"/>
        </w:rPr>
        <w:t>1.</w:t>
      </w:r>
      <w:r w:rsidRPr="009B69CC">
        <w:rPr>
          <w:iCs/>
          <w:lang w:val="fr-FR"/>
        </w:rPr>
        <w:tab/>
      </w:r>
      <w:r w:rsidRPr="009B69CC">
        <w:rPr>
          <w:i/>
          <w:iCs/>
          <w:lang w:val="fr-FR"/>
        </w:rPr>
        <w:t>Prie</w:t>
      </w:r>
      <w:r w:rsidRPr="009B69CC">
        <w:rPr>
          <w:lang w:val="fr-FR"/>
        </w:rPr>
        <w:t xml:space="preserve"> le Directeur exécutif, dans les limites du mandat du Programme des Nations Unies pour l</w:t>
      </w:r>
      <w:r>
        <w:rPr>
          <w:lang w:val="fr-FR"/>
        </w:rPr>
        <w:t>’</w:t>
      </w:r>
      <w:r w:rsidRPr="009B69CC">
        <w:rPr>
          <w:lang w:val="fr-FR"/>
        </w:rPr>
        <w:t>environnement et conformément au programme de travail et au budget, de favoriser et faciliter l</w:t>
      </w:r>
      <w:r>
        <w:rPr>
          <w:lang w:val="fr-FR"/>
        </w:rPr>
        <w:t>’</w:t>
      </w:r>
      <w:r w:rsidRPr="009B69CC">
        <w:rPr>
          <w:lang w:val="fr-FR"/>
        </w:rPr>
        <w:t>organisation ou le renforcement des forums régionaux des ministres de l</w:t>
      </w:r>
      <w:r>
        <w:rPr>
          <w:lang w:val="fr-FR"/>
        </w:rPr>
        <w:t>’</w:t>
      </w:r>
      <w:r w:rsidRPr="009B69CC">
        <w:rPr>
          <w:lang w:val="fr-FR"/>
        </w:rPr>
        <w:t>environnement et des autorités environnementales existants;</w:t>
      </w:r>
    </w:p>
    <w:p w:rsidR="005821B6" w:rsidRPr="009B69CC" w:rsidRDefault="005821B6" w:rsidP="003933E5">
      <w:pPr>
        <w:pStyle w:val="NormalNonumber"/>
        <w:ind w:firstLine="596"/>
        <w:rPr>
          <w:lang w:val="fr-FR"/>
        </w:rPr>
      </w:pPr>
      <w:r w:rsidRPr="009B69CC">
        <w:rPr>
          <w:iCs/>
          <w:lang w:val="fr-FR"/>
        </w:rPr>
        <w:t>2.</w:t>
      </w:r>
      <w:r w:rsidRPr="009B69CC">
        <w:rPr>
          <w:iCs/>
          <w:lang w:val="fr-FR"/>
        </w:rPr>
        <w:tab/>
      </w:r>
      <w:r w:rsidRPr="009B69CC">
        <w:rPr>
          <w:i/>
          <w:iCs/>
          <w:lang w:val="fr-FR"/>
        </w:rPr>
        <w:t>Prie également</w:t>
      </w:r>
      <w:r w:rsidRPr="009B69CC">
        <w:rPr>
          <w:lang w:val="fr-FR"/>
        </w:rPr>
        <w:t xml:space="preserve"> le Directeur exécutif, dans les limites du mandat du Programme des Nations Unies pour l</w:t>
      </w:r>
      <w:r>
        <w:rPr>
          <w:lang w:val="fr-FR"/>
        </w:rPr>
        <w:t>’</w:t>
      </w:r>
      <w:r w:rsidRPr="009B69CC">
        <w:rPr>
          <w:lang w:val="fr-FR"/>
        </w:rPr>
        <w:t>environnement, de favoriser et faciliter l</w:t>
      </w:r>
      <w:r>
        <w:rPr>
          <w:lang w:val="fr-FR"/>
        </w:rPr>
        <w:t>’</w:t>
      </w:r>
      <w:r w:rsidRPr="009B69CC">
        <w:rPr>
          <w:lang w:val="fr-FR"/>
        </w:rPr>
        <w:t>organisation de nouveaux forums régionaux des ministres de l</w:t>
      </w:r>
      <w:r>
        <w:rPr>
          <w:lang w:val="fr-FR"/>
        </w:rPr>
        <w:t>’</w:t>
      </w:r>
      <w:r w:rsidRPr="009B69CC">
        <w:rPr>
          <w:lang w:val="fr-FR"/>
        </w:rPr>
        <w:t>environnement et des autorités environnementales, à la demande des régions, dans le cadre d</w:t>
      </w:r>
      <w:r>
        <w:rPr>
          <w:lang w:val="fr-FR"/>
        </w:rPr>
        <w:t>’</w:t>
      </w:r>
      <w:r w:rsidRPr="009B69CC">
        <w:rPr>
          <w:lang w:val="fr-FR"/>
        </w:rPr>
        <w:t>un processus intergouvernemental, en faisant participer tous les pays appartenant aux régions concernées, sous réserve de la disponibilité de ressources financières à cette</w:t>
      </w:r>
      <w:r>
        <w:rPr>
          <w:lang w:val="fr-FR"/>
        </w:rPr>
        <w:t> </w:t>
      </w:r>
      <w:r w:rsidRPr="009B69CC">
        <w:rPr>
          <w:lang w:val="fr-FR"/>
        </w:rPr>
        <w:t>fin;</w:t>
      </w:r>
    </w:p>
    <w:p w:rsidR="00CA20BB" w:rsidRPr="00152E7E" w:rsidRDefault="005821B6" w:rsidP="003933E5">
      <w:pPr>
        <w:pStyle w:val="NormalNonumber"/>
        <w:ind w:firstLine="596"/>
      </w:pPr>
      <w:r w:rsidRPr="009B69CC">
        <w:rPr>
          <w:iCs/>
          <w:lang w:val="fr-FR"/>
        </w:rPr>
        <w:t>3.</w:t>
      </w:r>
      <w:r w:rsidRPr="009B69CC">
        <w:rPr>
          <w:iCs/>
          <w:lang w:val="fr-FR"/>
        </w:rPr>
        <w:tab/>
      </w:r>
      <w:r w:rsidRPr="009B69CC">
        <w:rPr>
          <w:i/>
          <w:iCs/>
          <w:lang w:val="fr-FR"/>
        </w:rPr>
        <w:t>Prie</w:t>
      </w:r>
      <w:r w:rsidRPr="009B69CC">
        <w:rPr>
          <w:lang w:val="fr-FR"/>
        </w:rPr>
        <w:t xml:space="preserve"> </w:t>
      </w:r>
      <w:r w:rsidRPr="009B69CC">
        <w:rPr>
          <w:i/>
          <w:lang w:val="fr-FR"/>
        </w:rPr>
        <w:t>en outre</w:t>
      </w:r>
      <w:r w:rsidRPr="009B69CC">
        <w:rPr>
          <w:lang w:val="fr-FR"/>
        </w:rPr>
        <w:t xml:space="preserve"> le Directeur exécutif de lui faire rapport sur l</w:t>
      </w:r>
      <w:r>
        <w:rPr>
          <w:lang w:val="fr-FR"/>
        </w:rPr>
        <w:t>’</w:t>
      </w:r>
      <w:r w:rsidRPr="009B69CC">
        <w:rPr>
          <w:lang w:val="fr-FR"/>
        </w:rPr>
        <w:t xml:space="preserve">application de la présente </w:t>
      </w:r>
      <w:r w:rsidRPr="005821B6">
        <w:rPr>
          <w:iCs/>
          <w:lang w:val="fr-FR"/>
        </w:rPr>
        <w:t>résolution</w:t>
      </w:r>
      <w:r w:rsidRPr="009B69CC">
        <w:rPr>
          <w:lang w:val="fr-FR"/>
        </w:rPr>
        <w:t xml:space="preserve"> dans le cadre des travaux intersessions qui l</w:t>
      </w:r>
      <w:r>
        <w:rPr>
          <w:lang w:val="fr-FR"/>
        </w:rPr>
        <w:t>’</w:t>
      </w:r>
      <w:r w:rsidRPr="009B69CC">
        <w:rPr>
          <w:lang w:val="fr-FR"/>
        </w:rPr>
        <w:t>intéressent, selon qu</w:t>
      </w:r>
      <w:r>
        <w:rPr>
          <w:lang w:val="fr-FR"/>
        </w:rPr>
        <w:t>’</w:t>
      </w:r>
      <w:r w:rsidRPr="009B69CC">
        <w:rPr>
          <w:lang w:val="fr-FR"/>
        </w:rPr>
        <w:t>il convient.</w:t>
      </w:r>
    </w:p>
    <w:p w:rsidR="006727DC" w:rsidRPr="00196CAB" w:rsidRDefault="003933E5" w:rsidP="00A43A4D">
      <w:pPr>
        <w:pStyle w:val="Normal-pool"/>
        <w:jc w:val="right"/>
        <w:rPr>
          <w:i/>
          <w:lang w:val="fr-FR"/>
        </w:rPr>
      </w:pPr>
      <w:r w:rsidRPr="00196CAB">
        <w:rPr>
          <w:i/>
          <w:lang w:val="fr-FR"/>
        </w:rPr>
        <w:t>6</w:t>
      </w:r>
      <w:r w:rsidRPr="00196CAB">
        <w:rPr>
          <w:i/>
          <w:vertAlign w:val="superscript"/>
          <w:lang w:val="fr-FR"/>
        </w:rPr>
        <w:t>e </w:t>
      </w:r>
      <w:r w:rsidRPr="00196CAB">
        <w:rPr>
          <w:i/>
          <w:lang w:val="fr-FR"/>
        </w:rPr>
        <w:t>séance plénière</w:t>
      </w:r>
    </w:p>
    <w:p w:rsidR="006727DC" w:rsidRPr="00196CAB" w:rsidRDefault="003933E5" w:rsidP="00A43A4D">
      <w:pPr>
        <w:pStyle w:val="Normal-pool"/>
        <w:spacing w:after="120"/>
        <w:jc w:val="right"/>
        <w:rPr>
          <w:i/>
          <w:lang w:val="fr-FR"/>
        </w:rPr>
      </w:pPr>
      <w:r w:rsidRPr="00196CAB">
        <w:rPr>
          <w:i/>
          <w:lang w:val="fr-FR"/>
        </w:rPr>
        <w:t xml:space="preserve">27 mai </w:t>
      </w:r>
      <w:r w:rsidR="006727DC" w:rsidRPr="00196CAB">
        <w:rPr>
          <w:i/>
          <w:lang w:val="fr-FR"/>
        </w:rPr>
        <w:t>2016</w:t>
      </w:r>
    </w:p>
    <w:tbl>
      <w:tblPr>
        <w:tblStyle w:val="Tabledocright"/>
        <w:tblW w:w="9610" w:type="dxa"/>
        <w:tblInd w:w="4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0"/>
        <w:gridCol w:w="1920"/>
        <w:gridCol w:w="1928"/>
        <w:gridCol w:w="1921"/>
      </w:tblGrid>
      <w:tr w:rsidR="00CA20BB" w:rsidRPr="00152E7E" w:rsidTr="00444D8F">
        <w:tc>
          <w:tcPr>
            <w:tcW w:w="1921" w:type="dxa"/>
          </w:tcPr>
          <w:p w:rsidR="00CA20BB" w:rsidRDefault="00CA20BB" w:rsidP="008B5283">
            <w:pPr>
              <w:pStyle w:val="Normal-pool"/>
              <w:spacing w:before="520"/>
            </w:pPr>
          </w:p>
        </w:tc>
        <w:tc>
          <w:tcPr>
            <w:tcW w:w="1920" w:type="dxa"/>
          </w:tcPr>
          <w:p w:rsidR="00CA20BB" w:rsidRDefault="00CA20BB" w:rsidP="008B5283">
            <w:pPr>
              <w:pStyle w:val="Normal-pool"/>
              <w:spacing w:before="520"/>
            </w:pPr>
          </w:p>
        </w:tc>
        <w:tc>
          <w:tcPr>
            <w:tcW w:w="1920" w:type="dxa"/>
            <w:tcBorders>
              <w:bottom w:val="single" w:sz="4" w:space="0" w:color="auto"/>
            </w:tcBorders>
          </w:tcPr>
          <w:p w:rsidR="00CA20BB" w:rsidRDefault="00CA20BB" w:rsidP="008B5283">
            <w:pPr>
              <w:pStyle w:val="Normal-pool"/>
              <w:spacing w:before="520"/>
            </w:pPr>
          </w:p>
        </w:tc>
        <w:tc>
          <w:tcPr>
            <w:tcW w:w="1928" w:type="dxa"/>
          </w:tcPr>
          <w:p w:rsidR="00C14100" w:rsidRPr="00152E7E" w:rsidRDefault="00C14100" w:rsidP="00444D8F">
            <w:pPr>
              <w:jc w:val="right"/>
              <w:rPr>
                <w:i/>
                <w:highlight w:val="cyan"/>
                <w:lang w:val="en-US"/>
              </w:rPr>
            </w:pPr>
          </w:p>
        </w:tc>
        <w:tc>
          <w:tcPr>
            <w:tcW w:w="1921" w:type="dxa"/>
          </w:tcPr>
          <w:p w:rsidR="00CA20BB" w:rsidRPr="00152E7E" w:rsidRDefault="00CA20BB" w:rsidP="00444D8F">
            <w:pPr>
              <w:jc w:val="right"/>
              <w:rPr>
                <w:i/>
                <w:highlight w:val="cyan"/>
                <w:lang w:val="en-US"/>
              </w:rPr>
            </w:pPr>
          </w:p>
        </w:tc>
      </w:tr>
    </w:tbl>
    <w:p w:rsidR="00CA20BB" w:rsidRPr="00EB4654" w:rsidRDefault="00CA20BB" w:rsidP="00CA20BB">
      <w:pPr>
        <w:pStyle w:val="Normal-pool"/>
      </w:pPr>
    </w:p>
    <w:sectPr w:rsidR="00CA20BB" w:rsidRPr="00EB4654" w:rsidSect="000B4AF8">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E8" w:rsidRDefault="00273BE8">
      <w:r>
        <w:separator/>
      </w:r>
    </w:p>
  </w:endnote>
  <w:endnote w:type="continuationSeparator" w:id="0">
    <w:p w:rsidR="00273BE8" w:rsidRDefault="0027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01398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43A4D">
      <w:rPr>
        <w:rStyle w:val="PageNumber"/>
        <w:noProof/>
      </w:rPr>
      <w:t>49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BB" w:rsidRPr="00CA20BB" w:rsidRDefault="00A43A4D">
    <w:pPr>
      <w:pStyle w:val="Footer"/>
      <w:rPr>
        <w:sz w:val="20"/>
      </w:rPr>
    </w:pPr>
    <w:r>
      <w:rPr>
        <w:sz w:val="20"/>
      </w:rPr>
      <w:t>K16</w:t>
    </w:r>
    <w:r w:rsidR="003933E5">
      <w:rPr>
        <w:sz w:val="20"/>
      </w:rPr>
      <w:t>07120</w:t>
    </w:r>
    <w:r>
      <w:rPr>
        <w:sz w:val="20"/>
      </w:rPr>
      <w:tab/>
    </w:r>
    <w:r w:rsidR="003933E5">
      <w:rPr>
        <w:sz w:val="20"/>
      </w:rPr>
      <w:t>06</w:t>
    </w:r>
    <w:r>
      <w:rPr>
        <w:sz w:val="20"/>
      </w:rPr>
      <w:t>09</w:t>
    </w:r>
    <w:r w:rsidR="00CA20BB" w:rsidRPr="00CA20BB">
      <w:rPr>
        <w:sz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E8" w:rsidRDefault="00273BE8" w:rsidP="00D92DE0">
      <w:pPr>
        <w:ind w:left="624"/>
      </w:pPr>
      <w:r>
        <w:separator/>
      </w:r>
    </w:p>
  </w:footnote>
  <w:footnote w:type="continuationSeparator" w:id="0">
    <w:p w:rsidR="00273BE8" w:rsidRDefault="0027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Pr="00CA20BB" w:rsidRDefault="00CA20BB" w:rsidP="00CA20BB">
    <w:pPr>
      <w:pStyle w:val="Header"/>
      <w:rPr>
        <w:szCs w:val="18"/>
      </w:rPr>
    </w:pPr>
    <w:r w:rsidRPr="00EB4654">
      <w:rPr>
        <w:szCs w:val="18"/>
      </w:rPr>
      <w:t>UNEP</w:t>
    </w:r>
    <w:r>
      <w:rPr>
        <w:szCs w:val="18"/>
      </w:rPr>
      <w:t>/EA</w:t>
    </w:r>
    <w:r w:rsidRPr="00EF4A81">
      <w:rPr>
        <w:szCs w:val="18"/>
      </w:rPr>
      <w:t>.2</w:t>
    </w:r>
    <w:r w:rsidR="004D21A8" w:rsidRPr="00EF4A81">
      <w:rPr>
        <w:szCs w:val="18"/>
      </w:rPr>
      <w:t>/R</w:t>
    </w:r>
    <w:r w:rsidR="005E6C6D" w:rsidRPr="00EF4A81">
      <w:rPr>
        <w:szCs w:val="18"/>
      </w:rPr>
      <w:t>es</w:t>
    </w:r>
    <w:r w:rsidR="00152E7E">
      <w:rPr>
        <w:szCs w:val="1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123699" w:rsidP="00035EDE">
    <w:pPr>
      <w:pStyle w:val="Header"/>
      <w:jc w:val="right"/>
    </w:pPr>
    <w:r>
      <w:t>UNON/DCS/ELU/TEMPLATE.1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988"/>
    <w:multiLevelType w:val="hybridMultilevel"/>
    <w:tmpl w:val="3856A3B2"/>
    <w:lvl w:ilvl="0" w:tplc="0409000F">
      <w:start w:val="1"/>
      <w:numFmt w:val="decimal"/>
      <w:lvlText w:val="%1."/>
      <w:lvlJc w:val="left"/>
      <w:pPr>
        <w:ind w:left="2591" w:hanging="360"/>
      </w:pPr>
    </w:lvl>
    <w:lvl w:ilvl="1" w:tplc="A59264C6">
      <w:start w:val="1"/>
      <w:numFmt w:val="lowerLetter"/>
      <w:lvlText w:val="(%2)"/>
      <w:lvlJc w:val="left"/>
      <w:pPr>
        <w:ind w:left="3311" w:hanging="360"/>
      </w:pPr>
      <w:rPr>
        <w:rFonts w:hint="default"/>
        <w:b w:val="0"/>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14678EB"/>
    <w:multiLevelType w:val="hybridMultilevel"/>
    <w:tmpl w:val="6DAAAD9C"/>
    <w:lvl w:ilvl="0" w:tplc="CD944B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1D70D6"/>
    <w:multiLevelType w:val="hybridMultilevel"/>
    <w:tmpl w:val="FF0E8AF6"/>
    <w:lvl w:ilvl="0" w:tplc="04090017">
      <w:start w:val="1"/>
      <w:numFmt w:val="lowerLetter"/>
      <w:lvlText w:val="%1)"/>
      <w:lvlJc w:val="left"/>
      <w:pPr>
        <w:ind w:left="1967" w:hanging="360"/>
      </w:pPr>
    </w:lvl>
    <w:lvl w:ilvl="1" w:tplc="04090017">
      <w:start w:val="1"/>
      <w:numFmt w:val="lowerLetter"/>
      <w:lvlText w:val="%2)"/>
      <w:lvlJc w:val="left"/>
      <w:pPr>
        <w:ind w:left="2687" w:hanging="360"/>
      </w:pPr>
    </w:lvl>
    <w:lvl w:ilvl="2" w:tplc="0C0C001B" w:tentative="1">
      <w:start w:val="1"/>
      <w:numFmt w:val="lowerRoman"/>
      <w:lvlText w:val="%3."/>
      <w:lvlJc w:val="right"/>
      <w:pPr>
        <w:ind w:left="3407" w:hanging="180"/>
      </w:pPr>
    </w:lvl>
    <w:lvl w:ilvl="3" w:tplc="0C0C000F" w:tentative="1">
      <w:start w:val="1"/>
      <w:numFmt w:val="decimal"/>
      <w:lvlText w:val="%4."/>
      <w:lvlJc w:val="left"/>
      <w:pPr>
        <w:ind w:left="4127" w:hanging="360"/>
      </w:pPr>
    </w:lvl>
    <w:lvl w:ilvl="4" w:tplc="0C0C0019" w:tentative="1">
      <w:start w:val="1"/>
      <w:numFmt w:val="lowerLetter"/>
      <w:lvlText w:val="%5."/>
      <w:lvlJc w:val="left"/>
      <w:pPr>
        <w:ind w:left="4847" w:hanging="360"/>
      </w:pPr>
    </w:lvl>
    <w:lvl w:ilvl="5" w:tplc="0C0C001B" w:tentative="1">
      <w:start w:val="1"/>
      <w:numFmt w:val="lowerRoman"/>
      <w:lvlText w:val="%6."/>
      <w:lvlJc w:val="right"/>
      <w:pPr>
        <w:ind w:left="5567" w:hanging="180"/>
      </w:pPr>
    </w:lvl>
    <w:lvl w:ilvl="6" w:tplc="0C0C000F" w:tentative="1">
      <w:start w:val="1"/>
      <w:numFmt w:val="decimal"/>
      <w:lvlText w:val="%7."/>
      <w:lvlJc w:val="left"/>
      <w:pPr>
        <w:ind w:left="6287" w:hanging="360"/>
      </w:pPr>
    </w:lvl>
    <w:lvl w:ilvl="7" w:tplc="0C0C0019" w:tentative="1">
      <w:start w:val="1"/>
      <w:numFmt w:val="lowerLetter"/>
      <w:lvlText w:val="%8."/>
      <w:lvlJc w:val="left"/>
      <w:pPr>
        <w:ind w:left="7007" w:hanging="360"/>
      </w:pPr>
    </w:lvl>
    <w:lvl w:ilvl="8" w:tplc="0C0C001B" w:tentative="1">
      <w:start w:val="1"/>
      <w:numFmt w:val="lowerRoman"/>
      <w:lvlText w:val="%9."/>
      <w:lvlJc w:val="right"/>
      <w:pPr>
        <w:ind w:left="7727" w:hanging="180"/>
      </w:pPr>
    </w:lvl>
  </w:abstractNum>
  <w:abstractNum w:abstractNumId="5">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0990D3D"/>
    <w:multiLevelType w:val="multilevel"/>
    <w:tmpl w:val="AF48E7E2"/>
    <w:lvl w:ilvl="0">
      <w:start w:val="1"/>
      <w:numFmt w:val="lowerLetter"/>
      <w:lvlText w:val="(%1)"/>
      <w:lvlJc w:val="left"/>
      <w:pPr>
        <w:tabs>
          <w:tab w:val="num" w:pos="1134"/>
        </w:tabs>
        <w:ind w:left="1247" w:firstLine="0"/>
      </w:pPr>
      <w:rPr>
        <w:b w:val="0"/>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7">
    <w:nsid w:val="62291BF8"/>
    <w:multiLevelType w:val="multilevel"/>
    <w:tmpl w:val="D07A6E4C"/>
    <w:numStyleLink w:val="Normallist"/>
  </w:abstractNum>
  <w:num w:numId="1">
    <w:abstractNumId w:val="1"/>
  </w:num>
  <w:num w:numId="2">
    <w:abstractNumId w:val="3"/>
  </w:num>
  <w:num w:numId="3">
    <w:abstractNumId w:val="5"/>
  </w:num>
  <w:num w:numId="4">
    <w:abstractNumId w:val="7"/>
  </w:num>
  <w:num w:numId="5">
    <w:abstractNumId w:val="1"/>
  </w:num>
  <w:num w:numId="6">
    <w:abstractNumId w:val="3"/>
  </w:num>
  <w:num w:numId="7">
    <w:abstractNumId w:val="5"/>
  </w:num>
  <w:num w:numId="8">
    <w:abstractNumId w:val="7"/>
  </w:num>
  <w:num w:numId="9">
    <w:abstractNumId w:val="1"/>
  </w:num>
  <w:num w:numId="10">
    <w:abstractNumId w:val="3"/>
  </w:num>
  <w:num w:numId="11">
    <w:abstractNumId w:val="5"/>
  </w:num>
  <w:num w:numId="12">
    <w:abstractNumId w:val="7"/>
  </w:num>
  <w:num w:numId="13">
    <w:abstractNumId w:val="5"/>
  </w:num>
  <w:num w:numId="14">
    <w:abstractNumId w:val="7"/>
  </w:num>
  <w:num w:numId="15">
    <w:abstractNumId w:val="1"/>
  </w:num>
  <w:num w:numId="16">
    <w:abstractNumId w:val="3"/>
  </w:num>
  <w:num w:numId="17">
    <w:abstractNumId w:val="5"/>
  </w:num>
  <w:num w:numId="18">
    <w:abstractNumId w:val="7"/>
  </w:num>
  <w:num w:numId="19">
    <w:abstractNumId w:val="1"/>
  </w:num>
  <w:num w:numId="20">
    <w:abstractNumId w:val="3"/>
  </w:num>
  <w:num w:numId="21">
    <w:abstractNumId w:val="5"/>
  </w:num>
  <w:num w:numId="22">
    <w:abstractNumId w:val="7"/>
  </w:num>
  <w:num w:numId="23">
    <w:abstractNumId w:val="1"/>
  </w:num>
  <w:num w:numId="24">
    <w:abstractNumId w:val="3"/>
  </w:num>
  <w:num w:numId="25">
    <w:abstractNumId w:val="5"/>
  </w:num>
  <w:num w:numId="26">
    <w:abstractNumId w:val="7"/>
  </w:num>
  <w:num w:numId="27">
    <w:abstractNumId w:val="1"/>
  </w:num>
  <w:num w:numId="28">
    <w:abstractNumId w:val="3"/>
  </w:num>
  <w:num w:numId="29">
    <w:abstractNumId w:val="5"/>
  </w:num>
  <w:num w:numId="30">
    <w:abstractNumId w:val="7"/>
  </w:num>
  <w:num w:numId="31">
    <w:abstractNumId w:val="1"/>
  </w:num>
  <w:num w:numId="32">
    <w:abstractNumId w:val="3"/>
  </w:num>
  <w:num w:numId="33">
    <w:abstractNumId w:val="5"/>
  </w:num>
  <w:num w:numId="34">
    <w:abstractNumId w:val="7"/>
  </w:num>
  <w:num w:numId="35">
    <w:abstractNumId w:val="5"/>
  </w:num>
  <w:num w:numId="36">
    <w:abstractNumId w:val="7"/>
  </w:num>
  <w:num w:numId="37">
    <w:abstractNumId w:val="5"/>
  </w:num>
  <w:num w:numId="38">
    <w:abstractNumId w:val="5"/>
  </w:num>
  <w:num w:numId="39">
    <w:abstractNumId w:val="5"/>
  </w:num>
  <w:num w:numId="40">
    <w:abstractNumId w:val="5"/>
  </w:num>
  <w:num w:numId="41">
    <w:abstractNumId w:val="5"/>
  </w:num>
  <w:num w:numId="42">
    <w:abstractNumId w:val="5"/>
  </w:num>
  <w:num w:numId="43">
    <w:abstractNumId w:val="6"/>
  </w:num>
  <w:num w:numId="44">
    <w:abstractNumId w:val="0"/>
  </w:num>
  <w:num w:numId="45">
    <w:abstractNumId w:val="2"/>
  </w:num>
  <w:num w:numId="4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BB"/>
    <w:rsid w:val="00013983"/>
    <w:rsid w:val="000149E6"/>
    <w:rsid w:val="000247B0"/>
    <w:rsid w:val="00026997"/>
    <w:rsid w:val="00033E0B"/>
    <w:rsid w:val="00035EDE"/>
    <w:rsid w:val="000509B4"/>
    <w:rsid w:val="0006035B"/>
    <w:rsid w:val="00071886"/>
    <w:rsid w:val="000742BC"/>
    <w:rsid w:val="00082A0C"/>
    <w:rsid w:val="00083504"/>
    <w:rsid w:val="0009640C"/>
    <w:rsid w:val="000B22A2"/>
    <w:rsid w:val="000B4AF8"/>
    <w:rsid w:val="000C2A52"/>
    <w:rsid w:val="000D33C0"/>
    <w:rsid w:val="000D6941"/>
    <w:rsid w:val="000F648C"/>
    <w:rsid w:val="001202E3"/>
    <w:rsid w:val="00123699"/>
    <w:rsid w:val="0013059D"/>
    <w:rsid w:val="00141A55"/>
    <w:rsid w:val="001446A3"/>
    <w:rsid w:val="00152E7E"/>
    <w:rsid w:val="00155395"/>
    <w:rsid w:val="001575DE"/>
    <w:rsid w:val="00160D74"/>
    <w:rsid w:val="00167D02"/>
    <w:rsid w:val="00170961"/>
    <w:rsid w:val="00181EC8"/>
    <w:rsid w:val="00184349"/>
    <w:rsid w:val="00195F33"/>
    <w:rsid w:val="00196CAB"/>
    <w:rsid w:val="001B1617"/>
    <w:rsid w:val="001B504B"/>
    <w:rsid w:val="001D3874"/>
    <w:rsid w:val="001D7E75"/>
    <w:rsid w:val="001E56D2"/>
    <w:rsid w:val="001E7D56"/>
    <w:rsid w:val="001F75DE"/>
    <w:rsid w:val="00200D58"/>
    <w:rsid w:val="002013BE"/>
    <w:rsid w:val="002063A4"/>
    <w:rsid w:val="0021145B"/>
    <w:rsid w:val="002333A0"/>
    <w:rsid w:val="00243D36"/>
    <w:rsid w:val="00247707"/>
    <w:rsid w:val="0026018E"/>
    <w:rsid w:val="00273BE8"/>
    <w:rsid w:val="00286740"/>
    <w:rsid w:val="002929D8"/>
    <w:rsid w:val="002A237D"/>
    <w:rsid w:val="002A4C53"/>
    <w:rsid w:val="002B0672"/>
    <w:rsid w:val="002B247F"/>
    <w:rsid w:val="002C145D"/>
    <w:rsid w:val="002C2C3E"/>
    <w:rsid w:val="002C533E"/>
    <w:rsid w:val="002D027F"/>
    <w:rsid w:val="002D6B1F"/>
    <w:rsid w:val="002D7A85"/>
    <w:rsid w:val="002D7B60"/>
    <w:rsid w:val="002F4761"/>
    <w:rsid w:val="002F5C79"/>
    <w:rsid w:val="003019E2"/>
    <w:rsid w:val="0031413F"/>
    <w:rsid w:val="003148BB"/>
    <w:rsid w:val="00317976"/>
    <w:rsid w:val="00355EA9"/>
    <w:rsid w:val="003578DE"/>
    <w:rsid w:val="003933E5"/>
    <w:rsid w:val="00396257"/>
    <w:rsid w:val="00397EB8"/>
    <w:rsid w:val="003A4FD0"/>
    <w:rsid w:val="003A69D1"/>
    <w:rsid w:val="003A7705"/>
    <w:rsid w:val="003A77F1"/>
    <w:rsid w:val="003B1545"/>
    <w:rsid w:val="003C409D"/>
    <w:rsid w:val="003C5BA6"/>
    <w:rsid w:val="003F0E85"/>
    <w:rsid w:val="00410C55"/>
    <w:rsid w:val="00416854"/>
    <w:rsid w:val="00417725"/>
    <w:rsid w:val="00437F26"/>
    <w:rsid w:val="00444097"/>
    <w:rsid w:val="00444D8F"/>
    <w:rsid w:val="00445487"/>
    <w:rsid w:val="00454769"/>
    <w:rsid w:val="00466991"/>
    <w:rsid w:val="0047064C"/>
    <w:rsid w:val="004A42E1"/>
    <w:rsid w:val="004B162C"/>
    <w:rsid w:val="004C3DBE"/>
    <w:rsid w:val="004C5C96"/>
    <w:rsid w:val="004D06A4"/>
    <w:rsid w:val="004D21A8"/>
    <w:rsid w:val="004F1A81"/>
    <w:rsid w:val="00514EEF"/>
    <w:rsid w:val="005218D9"/>
    <w:rsid w:val="00536186"/>
    <w:rsid w:val="00544CBB"/>
    <w:rsid w:val="0057315F"/>
    <w:rsid w:val="00576104"/>
    <w:rsid w:val="005821B6"/>
    <w:rsid w:val="005A069B"/>
    <w:rsid w:val="005A4EED"/>
    <w:rsid w:val="005A5843"/>
    <w:rsid w:val="005C67C8"/>
    <w:rsid w:val="005D000E"/>
    <w:rsid w:val="005D0249"/>
    <w:rsid w:val="005D6E8C"/>
    <w:rsid w:val="005E6C6D"/>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7157C"/>
    <w:rsid w:val="006727DC"/>
    <w:rsid w:val="00682ECF"/>
    <w:rsid w:val="00692E2A"/>
    <w:rsid w:val="006A76F2"/>
    <w:rsid w:val="006D7EFB"/>
    <w:rsid w:val="006E6672"/>
    <w:rsid w:val="006E6722"/>
    <w:rsid w:val="007027B9"/>
    <w:rsid w:val="00715E88"/>
    <w:rsid w:val="00734CAA"/>
    <w:rsid w:val="0075533C"/>
    <w:rsid w:val="00757581"/>
    <w:rsid w:val="007611A0"/>
    <w:rsid w:val="00796D3F"/>
    <w:rsid w:val="007A1683"/>
    <w:rsid w:val="007A5C12"/>
    <w:rsid w:val="007A7CB0"/>
    <w:rsid w:val="007B68A3"/>
    <w:rsid w:val="007C2541"/>
    <w:rsid w:val="007D66A8"/>
    <w:rsid w:val="007E003F"/>
    <w:rsid w:val="007F529F"/>
    <w:rsid w:val="008164F2"/>
    <w:rsid w:val="00821395"/>
    <w:rsid w:val="00822421"/>
    <w:rsid w:val="00830E26"/>
    <w:rsid w:val="00843576"/>
    <w:rsid w:val="00843B64"/>
    <w:rsid w:val="008478FC"/>
    <w:rsid w:val="00857384"/>
    <w:rsid w:val="00867BFF"/>
    <w:rsid w:val="008818A5"/>
    <w:rsid w:val="0088480A"/>
    <w:rsid w:val="0088757A"/>
    <w:rsid w:val="008957DD"/>
    <w:rsid w:val="00897D98"/>
    <w:rsid w:val="008A6DF2"/>
    <w:rsid w:val="008A7807"/>
    <w:rsid w:val="008B4CC9"/>
    <w:rsid w:val="008C7780"/>
    <w:rsid w:val="008D7C99"/>
    <w:rsid w:val="008E0FCB"/>
    <w:rsid w:val="0092178C"/>
    <w:rsid w:val="00930B88"/>
    <w:rsid w:val="00940DCC"/>
    <w:rsid w:val="0094179A"/>
    <w:rsid w:val="0094459E"/>
    <w:rsid w:val="00944DBC"/>
    <w:rsid w:val="00950977"/>
    <w:rsid w:val="00951A7B"/>
    <w:rsid w:val="009564A6"/>
    <w:rsid w:val="00967621"/>
    <w:rsid w:val="00967E6A"/>
    <w:rsid w:val="00991611"/>
    <w:rsid w:val="009B4A0F"/>
    <w:rsid w:val="009C11D2"/>
    <w:rsid w:val="009C6C70"/>
    <w:rsid w:val="009D0B63"/>
    <w:rsid w:val="009E307E"/>
    <w:rsid w:val="00A07870"/>
    <w:rsid w:val="00A07F19"/>
    <w:rsid w:val="00A1348D"/>
    <w:rsid w:val="00A232EE"/>
    <w:rsid w:val="00A4175F"/>
    <w:rsid w:val="00A43A4D"/>
    <w:rsid w:val="00A44411"/>
    <w:rsid w:val="00A469FA"/>
    <w:rsid w:val="00A55B01"/>
    <w:rsid w:val="00A56B5B"/>
    <w:rsid w:val="00A603FF"/>
    <w:rsid w:val="00A657DD"/>
    <w:rsid w:val="00A666A6"/>
    <w:rsid w:val="00A675FD"/>
    <w:rsid w:val="00A72437"/>
    <w:rsid w:val="00A80611"/>
    <w:rsid w:val="00AB5340"/>
    <w:rsid w:val="00AC0A89"/>
    <w:rsid w:val="00AC7C96"/>
    <w:rsid w:val="00AE237D"/>
    <w:rsid w:val="00AE502A"/>
    <w:rsid w:val="00AF7C07"/>
    <w:rsid w:val="00B22C93"/>
    <w:rsid w:val="00B27589"/>
    <w:rsid w:val="00B405B7"/>
    <w:rsid w:val="00B52222"/>
    <w:rsid w:val="00B54FE7"/>
    <w:rsid w:val="00B66901"/>
    <w:rsid w:val="00B71E6D"/>
    <w:rsid w:val="00B72070"/>
    <w:rsid w:val="00B779E1"/>
    <w:rsid w:val="00B91EE1"/>
    <w:rsid w:val="00BA0090"/>
    <w:rsid w:val="00BA1A67"/>
    <w:rsid w:val="00BA746E"/>
    <w:rsid w:val="00BE5B5F"/>
    <w:rsid w:val="00C14100"/>
    <w:rsid w:val="00C26F55"/>
    <w:rsid w:val="00C30C63"/>
    <w:rsid w:val="00C36B8B"/>
    <w:rsid w:val="00C415C1"/>
    <w:rsid w:val="00C47DBF"/>
    <w:rsid w:val="00C552FF"/>
    <w:rsid w:val="00C558DA"/>
    <w:rsid w:val="00C55AF3"/>
    <w:rsid w:val="00C63210"/>
    <w:rsid w:val="00C84759"/>
    <w:rsid w:val="00CA20BB"/>
    <w:rsid w:val="00CA6C7F"/>
    <w:rsid w:val="00CB12AF"/>
    <w:rsid w:val="00CC10A6"/>
    <w:rsid w:val="00CD5EB8"/>
    <w:rsid w:val="00CD7044"/>
    <w:rsid w:val="00CE08B9"/>
    <w:rsid w:val="00CE524C"/>
    <w:rsid w:val="00CF141F"/>
    <w:rsid w:val="00CF4777"/>
    <w:rsid w:val="00D067BB"/>
    <w:rsid w:val="00D1352A"/>
    <w:rsid w:val="00D169AF"/>
    <w:rsid w:val="00D25249"/>
    <w:rsid w:val="00D44172"/>
    <w:rsid w:val="00D63B8C"/>
    <w:rsid w:val="00D739CC"/>
    <w:rsid w:val="00D8093D"/>
    <w:rsid w:val="00D8108C"/>
    <w:rsid w:val="00D842AE"/>
    <w:rsid w:val="00D9211C"/>
    <w:rsid w:val="00D92DE0"/>
    <w:rsid w:val="00D92FEF"/>
    <w:rsid w:val="00D93A0F"/>
    <w:rsid w:val="00DA1BCA"/>
    <w:rsid w:val="00DC46FF"/>
    <w:rsid w:val="00DC5254"/>
    <w:rsid w:val="00DD1A4F"/>
    <w:rsid w:val="00DD3107"/>
    <w:rsid w:val="00DD7C2C"/>
    <w:rsid w:val="00E06797"/>
    <w:rsid w:val="00E1265B"/>
    <w:rsid w:val="00E13B48"/>
    <w:rsid w:val="00E1404F"/>
    <w:rsid w:val="00E21C83"/>
    <w:rsid w:val="00E24ADA"/>
    <w:rsid w:val="00E32F59"/>
    <w:rsid w:val="00E46D9A"/>
    <w:rsid w:val="00E565FF"/>
    <w:rsid w:val="00E65388"/>
    <w:rsid w:val="00E85B7D"/>
    <w:rsid w:val="00E9121B"/>
    <w:rsid w:val="00EA0AE2"/>
    <w:rsid w:val="00EA39E5"/>
    <w:rsid w:val="00EC5A46"/>
    <w:rsid w:val="00EC63E2"/>
    <w:rsid w:val="00EF22B3"/>
    <w:rsid w:val="00EF4A81"/>
    <w:rsid w:val="00F03B69"/>
    <w:rsid w:val="00F07A50"/>
    <w:rsid w:val="00F113DA"/>
    <w:rsid w:val="00F26AA2"/>
    <w:rsid w:val="00F37DC8"/>
    <w:rsid w:val="00F439B3"/>
    <w:rsid w:val="00F650C3"/>
    <w:rsid w:val="00F65D85"/>
    <w:rsid w:val="00F8091E"/>
    <w:rsid w:val="00F8615C"/>
    <w:rsid w:val="00F952D1"/>
    <w:rsid w:val="00F969E5"/>
    <w:rsid w:val="00FA6BB0"/>
    <w:rsid w:val="00FB13F1"/>
    <w:rsid w:val="00FD5860"/>
    <w:rsid w:val="00FE2AD9"/>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EEF"/>
    <w:pPr>
      <w:tabs>
        <w:tab w:val="left" w:pos="1247"/>
        <w:tab w:val="left" w:pos="1814"/>
        <w:tab w:val="left" w:pos="2381"/>
        <w:tab w:val="left" w:pos="2948"/>
        <w:tab w:val="left" w:pos="3515"/>
      </w:tabs>
    </w:pPr>
    <w:rPr>
      <w:noProof/>
      <w:lang w:val="fr-FR"/>
    </w:rPr>
  </w:style>
  <w:style w:type="paragraph" w:styleId="Heading1">
    <w:name w:val="heading 1"/>
    <w:basedOn w:val="Normal"/>
    <w:next w:val="Normalnumber"/>
    <w:qFormat/>
    <w:rsid w:val="000D6941"/>
    <w:pPr>
      <w:keepNext/>
      <w:spacing w:before="240" w:after="120"/>
      <w:ind w:left="1247" w:hanging="680"/>
      <w:outlineLvl w:val="0"/>
    </w:pPr>
    <w:rPr>
      <w:b/>
      <w:noProof w:val="0"/>
      <w:sz w:val="28"/>
    </w:rPr>
  </w:style>
  <w:style w:type="paragraph" w:styleId="Heading2">
    <w:name w:val="heading 2"/>
    <w:basedOn w:val="Normal"/>
    <w:next w:val="Normalnumber"/>
    <w:qFormat/>
    <w:rsid w:val="000D6941"/>
    <w:pPr>
      <w:keepNext/>
      <w:spacing w:before="240" w:after="120"/>
      <w:ind w:left="1247" w:hanging="680"/>
      <w:outlineLvl w:val="1"/>
    </w:pPr>
    <w:rPr>
      <w:b/>
      <w:noProof w:val="0"/>
      <w:sz w:val="24"/>
      <w:szCs w:val="24"/>
    </w:rPr>
  </w:style>
  <w:style w:type="paragraph" w:styleId="Heading3">
    <w:name w:val="heading 3"/>
    <w:basedOn w:val="Normal"/>
    <w:next w:val="Normalnumber"/>
    <w:qFormat/>
    <w:rsid w:val="000D6941"/>
    <w:pPr>
      <w:spacing w:after="120"/>
      <w:ind w:left="1247" w:hanging="680"/>
      <w:outlineLvl w:val="2"/>
    </w:pPr>
    <w:rPr>
      <w:b/>
      <w:noProof w:val="0"/>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noProof w:val="0"/>
      <w:sz w:val="24"/>
    </w:rPr>
  </w:style>
  <w:style w:type="paragraph" w:styleId="Heading6">
    <w:name w:val="heading 6"/>
    <w:basedOn w:val="Normal"/>
    <w:next w:val="Normal"/>
    <w:qFormat/>
    <w:rsid w:val="000D6941"/>
    <w:pPr>
      <w:keepNext/>
      <w:ind w:left="578"/>
      <w:outlineLvl w:val="5"/>
    </w:pPr>
    <w:rPr>
      <w:b/>
      <w:bCs/>
      <w:noProof w:val="0"/>
      <w:sz w:val="24"/>
    </w:rPr>
  </w:style>
  <w:style w:type="paragraph" w:styleId="Heading7">
    <w:name w:val="heading 7"/>
    <w:basedOn w:val="Normal"/>
    <w:next w:val="Normal"/>
    <w:qFormat/>
    <w:rsid w:val="000D6941"/>
    <w:pPr>
      <w:keepNext/>
      <w:widowControl w:val="0"/>
      <w:jc w:val="center"/>
      <w:outlineLvl w:val="6"/>
    </w:pPr>
    <w:rPr>
      <w:noProof w:val="0"/>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noProof w:val="0"/>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noProof w:val="0"/>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noProof w:val="0"/>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noProof w:val="0"/>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noProof w:val="0"/>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noProof w:val="0"/>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rPr>
      <w:noProof w:val="0"/>
    </w:r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noProof w:val="0"/>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noProof w:val="0"/>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n,Footnotes,Footnote ak,ft,fn cafc,Footnotes Char Char,Footnote Text Char Char,fn Char Char,footnote text Char Char Char Ch,Footnote Text Char1,footnote text Char Char Char Ch Char,-E Fußnotente"/>
    <w:basedOn w:val="Normalpool"/>
    <w:link w:val="FootnoteTextChar"/>
    <w:uiPriority w:val="99"/>
    <w:rsid w:val="000D6941"/>
    <w:pPr>
      <w:spacing w:before="20" w:after="40"/>
      <w:ind w:left="1247"/>
    </w:pPr>
    <w:rPr>
      <w:sz w:val="18"/>
    </w:rPr>
  </w:style>
  <w:style w:type="character" w:customStyle="1" w:styleId="FootnoteTextChar">
    <w:name w:val="Footnote Text Char"/>
    <w:aliases w:val="Geneva 9 Char,Font: Geneva 9 Char,Boston 10 Char,f Char,DNV-FT Char,fn Char,Footnotes Char,Footnote ak Char,ft Char,fn cafc Char,Footnotes Char Char Char,Footnote Text Char Char Char,fn Char Char Char,Footnote Text Char1 Char"/>
    <w:link w:val="FootnoteText"/>
    <w:uiPriority w:val="99"/>
    <w:rsid w:val="00CA20BB"/>
    <w:rPr>
      <w:sz w:val="18"/>
      <w:lang w:val="fr-FR"/>
    </w:rPr>
  </w:style>
  <w:style w:type="character" w:customStyle="1" w:styleId="NormalnumberChar">
    <w:name w:val="Normal_number Char"/>
    <w:link w:val="Normalnumber"/>
    <w:rsid w:val="00CA20BB"/>
    <w:rPr>
      <w:lang w:val="en-GB"/>
    </w:rPr>
  </w:style>
  <w:style w:type="character" w:customStyle="1" w:styleId="Normal-poolChar">
    <w:name w:val="Normal-pool Char"/>
    <w:link w:val="Normal-pool"/>
    <w:rsid w:val="00CA20BB"/>
    <w:rPr>
      <w:lang w:val="en-GB"/>
    </w:rPr>
  </w:style>
  <w:style w:type="table" w:customStyle="1" w:styleId="AATable">
    <w:name w:val="AA_Table"/>
    <w:basedOn w:val="TableNormal"/>
    <w:uiPriority w:val="99"/>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noProof w:val="0"/>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noProof w:val="0"/>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noProof w:val="0"/>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5A5843"/>
    <w:rPr>
      <w:rFonts w:ascii="Tahoma" w:hAnsi="Tahoma" w:cs="Tahoma"/>
      <w:noProof w:val="0"/>
      <w:sz w:val="16"/>
      <w:szCs w:val="16"/>
    </w:rPr>
  </w:style>
  <w:style w:type="character" w:customStyle="1" w:styleId="BalloonTextChar">
    <w:name w:val="Balloon Text Char"/>
    <w:basedOn w:val="DefaultParagraphFont"/>
    <w:link w:val="BalloonText"/>
    <w:rsid w:val="005A5843"/>
    <w:rPr>
      <w:rFonts w:ascii="Tahoma" w:hAnsi="Tahoma" w:cs="Tahoma"/>
      <w:sz w:val="16"/>
      <w:szCs w:val="16"/>
      <w:lang w:val="fr-FR"/>
    </w:rPr>
  </w:style>
  <w:style w:type="character" w:styleId="Emphasis">
    <w:name w:val="Emphasis"/>
    <w:basedOn w:val="DefaultParagraphFont"/>
    <w:qFormat/>
    <w:rsid w:val="00444D8F"/>
    <w:rPr>
      <w:i/>
      <w:iCs/>
    </w:rPr>
  </w:style>
  <w:style w:type="paragraph" w:styleId="NormalWeb">
    <w:name w:val="Normal (Web)"/>
    <w:basedOn w:val="Normal"/>
    <w:uiPriority w:val="99"/>
    <w:rsid w:val="005821B6"/>
    <w:pPr>
      <w:tabs>
        <w:tab w:val="clear" w:pos="1247"/>
        <w:tab w:val="clear" w:pos="1814"/>
        <w:tab w:val="clear" w:pos="2381"/>
        <w:tab w:val="clear" w:pos="2948"/>
        <w:tab w:val="clear" w:pos="3515"/>
      </w:tabs>
      <w:spacing w:before="100" w:beforeAutospacing="1" w:after="100" w:afterAutospacing="1"/>
    </w:pPr>
    <w:rPr>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EEF"/>
    <w:pPr>
      <w:tabs>
        <w:tab w:val="left" w:pos="1247"/>
        <w:tab w:val="left" w:pos="1814"/>
        <w:tab w:val="left" w:pos="2381"/>
        <w:tab w:val="left" w:pos="2948"/>
        <w:tab w:val="left" w:pos="3515"/>
      </w:tabs>
    </w:pPr>
    <w:rPr>
      <w:noProof/>
      <w:lang w:val="fr-FR"/>
    </w:rPr>
  </w:style>
  <w:style w:type="paragraph" w:styleId="Heading1">
    <w:name w:val="heading 1"/>
    <w:basedOn w:val="Normal"/>
    <w:next w:val="Normalnumber"/>
    <w:qFormat/>
    <w:rsid w:val="000D6941"/>
    <w:pPr>
      <w:keepNext/>
      <w:spacing w:before="240" w:after="120"/>
      <w:ind w:left="1247" w:hanging="680"/>
      <w:outlineLvl w:val="0"/>
    </w:pPr>
    <w:rPr>
      <w:b/>
      <w:noProof w:val="0"/>
      <w:sz w:val="28"/>
    </w:rPr>
  </w:style>
  <w:style w:type="paragraph" w:styleId="Heading2">
    <w:name w:val="heading 2"/>
    <w:basedOn w:val="Normal"/>
    <w:next w:val="Normalnumber"/>
    <w:qFormat/>
    <w:rsid w:val="000D6941"/>
    <w:pPr>
      <w:keepNext/>
      <w:spacing w:before="240" w:after="120"/>
      <w:ind w:left="1247" w:hanging="680"/>
      <w:outlineLvl w:val="1"/>
    </w:pPr>
    <w:rPr>
      <w:b/>
      <w:noProof w:val="0"/>
      <w:sz w:val="24"/>
      <w:szCs w:val="24"/>
    </w:rPr>
  </w:style>
  <w:style w:type="paragraph" w:styleId="Heading3">
    <w:name w:val="heading 3"/>
    <w:basedOn w:val="Normal"/>
    <w:next w:val="Normalnumber"/>
    <w:qFormat/>
    <w:rsid w:val="000D6941"/>
    <w:pPr>
      <w:spacing w:after="120"/>
      <w:ind w:left="1247" w:hanging="680"/>
      <w:outlineLvl w:val="2"/>
    </w:pPr>
    <w:rPr>
      <w:b/>
      <w:noProof w:val="0"/>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noProof w:val="0"/>
      <w:sz w:val="24"/>
    </w:rPr>
  </w:style>
  <w:style w:type="paragraph" w:styleId="Heading6">
    <w:name w:val="heading 6"/>
    <w:basedOn w:val="Normal"/>
    <w:next w:val="Normal"/>
    <w:qFormat/>
    <w:rsid w:val="000D6941"/>
    <w:pPr>
      <w:keepNext/>
      <w:ind w:left="578"/>
      <w:outlineLvl w:val="5"/>
    </w:pPr>
    <w:rPr>
      <w:b/>
      <w:bCs/>
      <w:noProof w:val="0"/>
      <w:sz w:val="24"/>
    </w:rPr>
  </w:style>
  <w:style w:type="paragraph" w:styleId="Heading7">
    <w:name w:val="heading 7"/>
    <w:basedOn w:val="Normal"/>
    <w:next w:val="Normal"/>
    <w:qFormat/>
    <w:rsid w:val="000D6941"/>
    <w:pPr>
      <w:keepNext/>
      <w:widowControl w:val="0"/>
      <w:jc w:val="center"/>
      <w:outlineLvl w:val="6"/>
    </w:pPr>
    <w:rPr>
      <w:noProof w:val="0"/>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noProof w:val="0"/>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noProof w:val="0"/>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noProof w:val="0"/>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noProof w:val="0"/>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noProof w:val="0"/>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noProof w:val="0"/>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rPr>
      <w:noProof w:val="0"/>
    </w:r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noProof w:val="0"/>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noProof w:val="0"/>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n,Footnotes,Footnote ak,ft,fn cafc,Footnotes Char Char,Footnote Text Char Char,fn Char Char,footnote text Char Char Char Ch,Footnote Text Char1,footnote text Char Char Char Ch Char,-E Fußnotente"/>
    <w:basedOn w:val="Normalpool"/>
    <w:link w:val="FootnoteTextChar"/>
    <w:uiPriority w:val="99"/>
    <w:rsid w:val="000D6941"/>
    <w:pPr>
      <w:spacing w:before="20" w:after="40"/>
      <w:ind w:left="1247"/>
    </w:pPr>
    <w:rPr>
      <w:sz w:val="18"/>
    </w:rPr>
  </w:style>
  <w:style w:type="character" w:customStyle="1" w:styleId="FootnoteTextChar">
    <w:name w:val="Footnote Text Char"/>
    <w:aliases w:val="Geneva 9 Char,Font: Geneva 9 Char,Boston 10 Char,f Char,DNV-FT Char,fn Char,Footnotes Char,Footnote ak Char,ft Char,fn cafc Char,Footnotes Char Char Char,Footnote Text Char Char Char,fn Char Char Char,Footnote Text Char1 Char"/>
    <w:link w:val="FootnoteText"/>
    <w:uiPriority w:val="99"/>
    <w:rsid w:val="00CA20BB"/>
    <w:rPr>
      <w:sz w:val="18"/>
      <w:lang w:val="fr-FR"/>
    </w:rPr>
  </w:style>
  <w:style w:type="character" w:customStyle="1" w:styleId="NormalnumberChar">
    <w:name w:val="Normal_number Char"/>
    <w:link w:val="Normalnumber"/>
    <w:rsid w:val="00CA20BB"/>
    <w:rPr>
      <w:lang w:val="en-GB"/>
    </w:rPr>
  </w:style>
  <w:style w:type="character" w:customStyle="1" w:styleId="Normal-poolChar">
    <w:name w:val="Normal-pool Char"/>
    <w:link w:val="Normal-pool"/>
    <w:rsid w:val="00CA20BB"/>
    <w:rPr>
      <w:lang w:val="en-GB"/>
    </w:rPr>
  </w:style>
  <w:style w:type="table" w:customStyle="1" w:styleId="AATable">
    <w:name w:val="AA_Table"/>
    <w:basedOn w:val="TableNormal"/>
    <w:uiPriority w:val="99"/>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noProof w:val="0"/>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noProof w:val="0"/>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noProof w:val="0"/>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5A5843"/>
    <w:rPr>
      <w:rFonts w:ascii="Tahoma" w:hAnsi="Tahoma" w:cs="Tahoma"/>
      <w:noProof w:val="0"/>
      <w:sz w:val="16"/>
      <w:szCs w:val="16"/>
    </w:rPr>
  </w:style>
  <w:style w:type="character" w:customStyle="1" w:styleId="BalloonTextChar">
    <w:name w:val="Balloon Text Char"/>
    <w:basedOn w:val="DefaultParagraphFont"/>
    <w:link w:val="BalloonText"/>
    <w:rsid w:val="005A5843"/>
    <w:rPr>
      <w:rFonts w:ascii="Tahoma" w:hAnsi="Tahoma" w:cs="Tahoma"/>
      <w:sz w:val="16"/>
      <w:szCs w:val="16"/>
      <w:lang w:val="fr-FR"/>
    </w:rPr>
  </w:style>
  <w:style w:type="character" w:styleId="Emphasis">
    <w:name w:val="Emphasis"/>
    <w:basedOn w:val="DefaultParagraphFont"/>
    <w:qFormat/>
    <w:rsid w:val="00444D8F"/>
    <w:rPr>
      <w:i/>
      <w:iCs/>
    </w:rPr>
  </w:style>
  <w:style w:type="paragraph" w:styleId="NormalWeb">
    <w:name w:val="Normal (Web)"/>
    <w:basedOn w:val="Normal"/>
    <w:uiPriority w:val="99"/>
    <w:rsid w:val="005821B6"/>
    <w:pPr>
      <w:tabs>
        <w:tab w:val="clear" w:pos="1247"/>
        <w:tab w:val="clear" w:pos="1814"/>
        <w:tab w:val="clear" w:pos="2381"/>
        <w:tab w:val="clear" w:pos="2948"/>
        <w:tab w:val="clear" w:pos="3515"/>
      </w:tabs>
      <w:spacing w:before="100" w:beforeAutospacing="1" w:after="100" w:afterAutospacing="1"/>
    </w:pPr>
    <w:rPr>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s.unov.org/vintars/ShowRecord.aspx?RecordID=af0185c1-cdf9-469c-897f-f19a093e6782&amp;eRef" TargetMode="External"/><Relationship Id="rId13" Type="http://schemas.openxmlformats.org/officeDocument/2006/relationships/image" Target="media/image2.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s.unov.org/vintars/ShowRecord.aspx?RecordID=91eda26d-b722-4c2d-b79c-28c14817c628&amp;eR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s.unov.org/vintars/ShowRecord.aspx?RecordID=aa4b2a5e-8234-4ca9-b691-49b1555d3836&amp;eRe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Cyrille-Lazare Siewe</cp:lastModifiedBy>
  <cp:revision>2</cp:revision>
  <cp:lastPrinted>2016-09-06T10:20:00Z</cp:lastPrinted>
  <dcterms:created xsi:type="dcterms:W3CDTF">2016-09-12T07:38:00Z</dcterms:created>
  <dcterms:modified xsi:type="dcterms:W3CDTF">2016-09-12T07:38:00Z</dcterms:modified>
</cp:coreProperties>
</file>